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color w:val="000000"/>
          <w:sz w:val="28"/>
          <w:szCs w:val="28"/>
        </w:rPr>
      </w:pPr>
      <w:bookmarkStart w:id="3" w:name="_GoBack"/>
      <w:r>
        <w:rPr>
          <w:rFonts w:hint="eastAsia" w:ascii="方正小标宋简体" w:hAnsi="Calibri" w:eastAsia="方正小标宋简体" w:cs="Times New Roman"/>
          <w:color w:val="000000"/>
          <w:sz w:val="44"/>
          <w:szCs w:val="44"/>
        </w:rPr>
        <w:t>博物馆运行评估标准</w:t>
      </w:r>
    </w:p>
    <w:bookmarkEnd w:id="3"/>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本标准规定了对定级博物馆开展运行评估所使用的指标和评价方法。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本标准适用于博物馆行业组织针对定级博物馆开展的博物馆运行评估工作。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文物主管部门、博物馆行业组织针对未定级博物馆开展运行评估工作可参照本标准确定的指标和方法进行。</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2.规范性引用文件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《国家基本公共服务标准（2021年版）》（发改社会〔2021〕443号）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GA 27-2002《文物系统博物馆风险等级和安全防护级别的规定》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17775-2003 《旅游景区质量等级的划分与评定》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22528-2008《文物保护单位开放服务规范》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WW/T 0020-2008 《文物藏品档案规范》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23863-2009 《博物馆照明设计规范》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23862-2009《文物运输包装规范》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28227.2-2011《文化服务质量管理体系实施指南第2部分：室内博物馆》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16571-2012《博物馆和文物保护单位安全防范系统要求》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30234-2013《文物展品标牌》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WW/T 0017-2013《馆藏文物登录规范》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JGJ 66-2015《博物馆建筑设计规范》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36721-2018《博物馆开放服务规范》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WW/T 0088-2018《博物馆展览内容设计规范》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WW/T 0089-2018《博物馆陈列展览形式设计与施工规范》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WW/T 0092-2018《博物馆运行评估指标》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22239-2019《信息安全技术</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网络安全等级保护基本要求》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《博物馆定级评估标准（2019年12月）》（文物博发〔2020〕2号）</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3.术语和定义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 博物馆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以教育、研究和欣赏为目的，收藏、保护并向公众展示人类活动和自然环境的见证物，经登记管理机关依法登记的非营利组织。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 定级博物馆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依据《博物馆定级评估办法》参加博物馆定级评估并取得“一、二、三级博物馆”质量等级的博物馆。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 博物馆运行评估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博物馆行业组织负责实施，以考察、评价、监督为主要目的，针对定级博物馆在特定期间的运行状况及运行目标实现程度的评价活动，是针对定级博物馆运行质量的监督检查和复核，旨在通过评估客观反映博物馆在评估周期内的运行状况，建立科学的博物馆激励约束机制，以评促建，引导和促进定级博物馆向规范化、专业化、社会化和现代化方向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3.4评估机构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由博物馆行业组织组建，负责实施博物馆运行评估活动的专业机构。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3.5评估专家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由博物馆行业组织建立评估专家库并随机抽选产生，参加博物馆运行评估工作的专家。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3.6评估对象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取得相应等级三年以上的国家一、二、三级博物馆，均应参加运行评估。未定级博物馆的运行评估工作可参照《博物馆运行评估办法》确定的原则和程序组织实施。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3.7定性评估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博物馆运行评估的工作环节之一，由评估专家依据评估对象提供的申报材料，综合判断评估对象规范管理、服务产出、社会评价等方面的运行状况，并进行定性评分。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3.8定量评估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博物馆运行评估的工作环节之一，由评估机构针对评估对象规范管理、服务产出、社会评价等方面可以量化的数据指标进行汇总统计和比对核查，通过计算形成定量评分。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3.9 博物馆理事会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是依照国家法律法规、政府有关政策和本单位章程开展工作的博物馆的决策和监督机构。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3.10 藏品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以收藏、研究、展示、教育、传播为目的，由博物馆永久收藏的，具有历史、艺术、科学等价值的文物、标本、资料、模型等的总称。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 博物馆年度报告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博物馆按照文物主管部门或上级部门有关规范性文件或行业标准要求，每年度定期编制，发布本馆上一年度基本信息、资源信息、活动信息等，向管理机关、主要捐赠人和社会公众公开披露的报告文件。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 代表性科研成果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在评估周期内开展科研活动取得的最具代表性的一项学术成果。可以是获奖科研项目（科研工作）、著作、科普读物、教材、论文、研究型展览大纲和批准专利等（不包括一般性展览大纲等日常工作或项目），必须由博物馆单位（包括博物馆下属机构）或博物馆在职职工署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 基本陈列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基于博物馆类型和定位，以本馆藏品为主体，以相关学术理论为基础的常设性陈列。依托文物保护单位设立的博物馆，对古迹遗址的保护展示或在文物建筑中的原状陈列可作为基本陈列参与评分。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 代表性临时展览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博物馆在评估周期内举办，由本馆负责策展，内容及形式自主设计并组织展示的，最能够代表本馆展览策划、设计水平的一项临时性展览，所用展品可不局限于本馆藏品。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3.15 代表性教育活动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在评估周期内举办，由本馆负责策划，结合馆藏资源或陈列展览内容，面向大中小学生、家庭亲子或社区公众等受众群体推出的一项主题性、品牌性教育活动、教育课程、研学旅行活动、流动博物馆活动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3.16 代表性文创产品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博物馆依托本馆藏品、展览文化元素，在评估周期内自主研发、具有独立品牌价值并投放市场，取得良好社会、经济效益的一项标志性文创产品或系列产品。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3.17 线上数字化体验产品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依托互联网以及微博、微信、网络视频平台等新媒体形式，针对网络受众推出的云展览、云讲解、云教育（云课程）、短视频、高清直播、虚拟展厅、沉浸式体验等具有知识性、教育性、互动性的网络应用程序、内容产品或线上活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4.评估原则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 依法评估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文物保护法》《中华人民共和国公共文化服务保障法》《博物馆条例》等有关法律法规规定，博物馆运行评估工作由博物馆行业组织实施，按照“以评促建、以评促改”的评估目标，在博物馆行业全面贯彻新发展理念的有关要求，引导、规范定级博物馆的发展方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 分级指导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博物馆运行评估将根据国家一、二、三级博物馆的不同功能定位和发展方向，科学确定不同等级博物馆的评估指标权重，体现运行评估工作中的分级指导、科学管理。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 动态管理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运行评估，既可对定级博物馆自身的年度运行状况进行纵向对比，也可对同一级别博物馆在评估周期内的运行状况进行横向对比。对不符合相应等级标准的，降低或取消等级，从而实现定级博物馆的动态管理，不断健全博物馆分级管理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 数质并重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估指标包含定性评估和定量评估两个部分，兼顾博物馆不同领域、不同业务工作、不同指标项的数量增长与质量提升，通过定性和定量两类指标的综合评价，相互校验、补充，保障运行评估结果的科学、完整、准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 公平公正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评估工作中，使用统一的评价体系对不同博物馆进行评价，公平对待各级各类博物馆；在评估方法上，定性评估、定量评估和综合评议相结合，在评估过程中存在重大分歧时，可进行现场核实，切实保证评估工作的公平公正。</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5.评估指标框架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运行评估指标分为三级，评估的主要内容包括：规范管理、服务产出和社会评价三个方面，评估的方式包括：定性评估和定量评估两类，另外设置若干附加项。每级指标下均设有定性和定量两类考察要点。评估采取百分制计分，满分为100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 规范管理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“规范管理”指标主要对博物馆的管理情况进行评估，具体分为“组织管理”“藏品管理”“开放管理”和“安全管理”四个二级指标。“规范管理”的指标权重为25%。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 组织管理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本指标权重为4%，在定性评估中设立“法人治理”“制度规划”和“队伍建设”三个三级指标，在定量评估中不设三级指标。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 藏品管理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本指标权重为10%，在定性评估中设立“藏品征集”“藏品登录”“藏品保管”和“藏品保护”四个三级指标，在定量评估中不设三级指标。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 开放管理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本指标权重为5%，在定性评估中设立“信息公开”和“参观服务”两个三级指标，在定量评估中不设三级指标。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 安全管理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本指标权重为6%，在定性评估中设立“意识形态安全”“藏品安全”“公共安全”和“信息安全”四个三级指标，在定量评估中不设三级指标。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 服务产出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“服务产出”指标对博物馆主要业务功能的效率和质量进行评估。具体分为“科学研究”“陈列展览”“教育服务”和“文化传播”四个二级指标。“服务产出”的指标权重为55%。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 科学研究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本指标权重为15%，在定性评估中设立“科研产出”和“科研服务”两个三级指标，在定量评估中不设三级指标。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 陈列展览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本指标权重为15%，在定性评估中设立“基本陈列”和“临时展览”两个三级指标，在定量评估中不设三级指标。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 教育服务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本指标权重为15%，在定性评估中设立“</w:t>
      </w:r>
      <w:r>
        <w:rPr>
          <w:rFonts w:hint="eastAsia" w:ascii="仿宋_GB2312" w:hAnsi="仿宋_GB2312" w:eastAsia="仿宋_GB2312" w:cs="仿宋_GB2312"/>
          <w:color w:val="000000"/>
          <w:sz w:val="32"/>
          <w:szCs w:val="32"/>
          <w:lang w:eastAsia="zh-CN"/>
        </w:rPr>
        <w:t>讲解服务</w:t>
      </w:r>
      <w:r>
        <w:rPr>
          <w:rFonts w:hint="eastAsia" w:ascii="仿宋_GB2312" w:hAnsi="仿宋_GB2312" w:eastAsia="仿宋_GB2312" w:cs="仿宋_GB2312"/>
          <w:color w:val="000000"/>
          <w:sz w:val="32"/>
          <w:szCs w:val="32"/>
        </w:rPr>
        <w:t>”“教育活动”和“公益鉴定”三个三级指标，在定量评估中不设三级指标。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5.3.4 文化传播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本指标权重为10%，在定性评估中设立“馆际协作”“国际交流”“数字传播”和“文创经营”四个三级指标，在定量评估中不设三级指标。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 社会评价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“社会评价”指标通过观众、媒体和社会反馈的信息情况对博物馆的社会服务产出的效果进行评估。具体分为“观众反馈”和“社会影响”两个二级指标。“社会评价”的指标权重为20%。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 观众反馈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本指标权重为12%，在定性评估中设立“观众结构”和“观众满意度”两个三级指标，在定量评估中不设三级指标。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5.4.2 社会影响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本指标权重为8%，在定性评估中设立“社会关注度”“奖励与荣誉”和“公众参与”三个三级指标，在定量评估中不设三级指标。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 附加项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附加项共分为“特色加分项”和“警示减分项”两类。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5.5.1 特色加分项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对特色化、个性化发展创新表现突出的博物馆给予加分，参评博物馆如在藏品保护修复、科研、陈列展览、教育、文化传播方面实施有特色化、个性化发展创新项目，在全国范围内对博物馆行业形成重大引领示范作用的，可增加附加分，并计入总得分。评估时，由评估专家根据参评博物馆申报的项目材料，结合博物馆事业改革发展的有关要求具体确定加分额度。单个特色项目加分不超过3分；参评博物馆累计加分不超过6分，累计附加分后博物馆总得分最高不超过100分。在评估实践中，对特色加分应从严掌握，给予特色加分的单位最多不超过参评单位总数的10%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结合博物馆事业改革发展的有关要求，特色加分的重点方向主要包括：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a）博物馆、纪念馆服务国家重大战略、重大文化工程，加强资源整合与协同创新方面开展的特色化、个性化发展创新项目；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b）博物馆、纪念馆落实中央和国家有关部门关于博物馆改革发展的政策要求，创新体制机制，释放发展活力方面开展的特色化、个性化发展创新项目；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c）博物馆、纪念馆在弘扬社会主义核心价值观，传承弘扬中华优秀传统文化、继承革命文化和发展社会主义先进文化，推动文物资源创造性转化、创新性发展方面开展的特色化、个性化发展创新项目；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d）博物馆、纪念馆在开展国际合作，推进文明交流互鉴，向国际社会讲好中国故事、讲好中国共产党的故事，提升中华文化国际传播能力，扩大中华文化国际影响力方面开展的特色化、个性化发展创新项目。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5.5.2 警示减分项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对藏品管理、安全管理方面有重大违规行为或事故的博物馆予以处罚，旨在促使博物馆重视藏品管理、安全管理相关工作。警示减分项随藏品管理、安全管理项下有关三级指标设立，一旦发生指标项确定的违规行为或事故，关联的二级指标全项不得分。警示减分项的具体考察内容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a）评估周期内未有效落实意识形态工作责任制，发生负面舆情或其他意识形态问题（关联指标：安全管理—意识形态安全），发生重大舆情或其他重大意识形态问题的，涉及安全管理二级指标项（6分）不得分。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b）评估周期内违规收藏有来源不明或者来源不合法的藏品（关联指标：藏品管理—藏品征集）。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c）馆藏文物借用或交换，未依法履行备案或报批程序（关联指标：藏品管理—藏品登录）。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d）未能依法合规处置文物（关联指标：藏品管理—藏品保管）。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e）评估周期内发生藏品安全事故（关联指标：藏品管理—藏品保管、安全管理—藏品安全），发生重大安全事故的，涉及藏品管理（10分）和安全管理（6分）两个二级指标项共计16分全部扣除。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f）评估周期内发生观众安全责任事故（关联指标：安全管理—公共安全）。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g）革命纪念类博物馆及陈列展览内容未履行相关审批手续（关联指标：安全管理—意识形态安全，其他类型博物馆不作考察）。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 指标权重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落实分级指导的评估原则，评估中一、二、三级博物馆各一、二级指标的权重相同，定性评估中的三级指标和定量指标的权重不同，一、二、三级博物馆定量指标所占权重分别为20%，30%，40%。具体权重安排详见表1：博物馆运行评估指标体系框架及权重分布。</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rPr>
      </w:pPr>
      <w:r>
        <w:rPr>
          <w:rFonts w:hint="eastAsia" w:ascii="仿宋_GB2312" w:hAnsi="仿宋_GB2312" w:eastAsia="仿宋_GB2312" w:cs="仿宋_GB2312"/>
          <w:color w:val="000000"/>
          <w:sz w:val="32"/>
          <w:szCs w:val="32"/>
        </w:rPr>
        <w:t>表1：博物馆运行评估指标体系框架及权重分布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410"/>
        <w:gridCol w:w="1905"/>
        <w:gridCol w:w="1350"/>
        <w:gridCol w:w="123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4707"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指标名称</w:t>
            </w:r>
          </w:p>
        </w:tc>
        <w:tc>
          <w:tcPr>
            <w:tcW w:w="3815"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13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一级指标</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二级指标</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三级指标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博物馆</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二级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博物馆</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三级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规范管理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000000"/>
                <w:sz w:val="28"/>
                <w:szCs w:val="28"/>
              </w:rPr>
              <w:t>25</w:t>
            </w: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组织管理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法人治理</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制度规划</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队伍建设</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0.5</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藏品管理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藏品征集</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藏品登录</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藏品保管</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藏品保护</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开放管理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信息公开</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参观服务</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安全管理</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意识形态安全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藏品安全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公共安全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信息安全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0.5</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服务产出</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000000"/>
                <w:sz w:val="28"/>
                <w:szCs w:val="28"/>
              </w:rPr>
              <w:t>55</w:t>
            </w: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科学研究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15</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科研产出</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科研服务</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陈列展览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15</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基本陈列</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临时展览</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教育服务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15</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讲解服务</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教育活动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公益鉴定</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10" w:leftChars="15" w:hanging="562" w:hangingChars="201"/>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文化传播</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10</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馆际协作</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国际交流</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数字传播</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文创经营</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社会评价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000000"/>
                <w:sz w:val="28"/>
                <w:szCs w:val="28"/>
              </w:rPr>
              <w:t>20</w:t>
            </w: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观众反馈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12</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观众结构</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观众满意度</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社会影响</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8</w:t>
            </w: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社会关注度</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奖励与荣誉</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公众参与</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p>
        </w:tc>
        <w:tc>
          <w:tcPr>
            <w:tcW w:w="19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定量指标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2"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特色加分项</w:t>
            </w:r>
          </w:p>
        </w:tc>
        <w:tc>
          <w:tcPr>
            <w:tcW w:w="5720"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根据参评博物馆申报的改革创新与特色发展项目材料给分，单个特色项目加分不超过3分；参评博物馆累计加分不超过6分，累计附加分后博物馆总得分最高不超过100分。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2"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警示减分项</w:t>
            </w:r>
          </w:p>
        </w:tc>
        <w:tc>
          <w:tcPr>
            <w:tcW w:w="5720"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一旦发生指标项确定的违规行为或事故，所关联的二级指标全项不得分。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6.评估流程与方法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 评估流程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博物馆运行评估流程包括：定性评估、定量评估</w:t>
      </w:r>
      <w:r>
        <w:rPr>
          <w:rFonts w:hint="eastAsia" w:ascii="仿宋_GB2312" w:hAnsi="仿宋_GB2312" w:cs="仿宋_GB2312"/>
          <w:color w:val="000000"/>
          <w:sz w:val="32"/>
          <w:szCs w:val="32"/>
          <w:lang w:eastAsia="zh-CN"/>
        </w:rPr>
        <w:t>、现场考察</w:t>
      </w:r>
      <w:r>
        <w:rPr>
          <w:rFonts w:hint="eastAsia" w:ascii="仿宋_GB2312" w:hAnsi="仿宋_GB2312" w:eastAsia="仿宋_GB2312" w:cs="仿宋_GB2312"/>
          <w:color w:val="000000"/>
          <w:sz w:val="32"/>
          <w:szCs w:val="32"/>
        </w:rPr>
        <w:t>和综合评议。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 定性评估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性评估由随机抽选产生的评估专家通过评估系统在线审阅评估对象提交的申报材料，对照本标准确定的评估指标、考察要点和附录A确定的各考察要点原始分值进行记名打分和排序，形成定性评估分值。定性评估按评估指标分组进行，每项考察要点需要经过不少于3位评估专家分别评分，将各评估专家的评分以二级指标为单位进行汇总并</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简单算术平均</w:t>
      </w:r>
      <w:r>
        <w:rPr>
          <w:rFonts w:hint="eastAsia" w:ascii="仿宋_GB2312" w:hAnsi="仿宋_GB2312" w:eastAsia="仿宋_GB2312" w:cs="仿宋_GB2312"/>
          <w:color w:val="000000"/>
          <w:sz w:val="32"/>
          <w:szCs w:val="32"/>
          <w:lang w:eastAsia="zh-CN"/>
        </w:rPr>
        <w:t>进行计算</w:t>
      </w:r>
      <w:r>
        <w:rPr>
          <w:rFonts w:hint="eastAsia" w:ascii="仿宋_GB2312" w:hAnsi="仿宋_GB2312" w:eastAsia="仿宋_GB2312" w:cs="仿宋_GB2312"/>
          <w:color w:val="000000"/>
          <w:sz w:val="32"/>
          <w:szCs w:val="32"/>
        </w:rPr>
        <w:t>，再根据评估指标的权重值还原形成该二级指标的定性评估得分。定性评估得分的具体计算方法，详见附录B。</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 定量评估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量评估通过汇总评估申报书中的有关量化数据或评估中收集采集的相关数据，运用专门的统计计算系统进行处理。计分时，首先根据本标准确定的评估指标、考察要点和附录A确定的各考察要点原始分值，按照不同级别博物馆的评估数据分别计算各考察要点分值，然后以二级指标为单位进行汇总，并根据评估指标的权重值还原形成该二级指标的定量评估得分。定量评估得分的具体计算方法，详见附录B。</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6.4 现场考察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在定性评估、定量评估过程中，评估机构可以委托评估专家和评估检查员组成</w:t>
      </w:r>
      <w:r>
        <w:rPr>
          <w:rFonts w:hint="eastAsia" w:ascii="仿宋_GB2312" w:hAnsi="仿宋_GB2312" w:cs="仿宋_GB2312"/>
          <w:color w:val="000000"/>
          <w:sz w:val="32"/>
          <w:szCs w:val="32"/>
          <w:lang w:eastAsia="zh-CN"/>
        </w:rPr>
        <w:t>考察</w:t>
      </w:r>
      <w:r>
        <w:rPr>
          <w:rFonts w:hint="eastAsia" w:ascii="仿宋_GB2312" w:hAnsi="仿宋_GB2312" w:eastAsia="仿宋_GB2312" w:cs="仿宋_GB2312"/>
          <w:color w:val="000000"/>
          <w:sz w:val="32"/>
          <w:szCs w:val="32"/>
        </w:rPr>
        <w:t>小组，对参评博物馆进行现场考察，通过检查环境、查阅档案、听取汇报、交流座谈、实地暗访的形式核实相关评估材料的真实性、完整性，撰写现场考察报告，并可对前期形成的评估得分提出修订建议。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 综合评议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评议以专家组会议形式进行，由评估专家集中审议通过对定性评估、定量评估结果加权计算形成的初步评估成绩，听取评估机构和评估专家的工作报告，在集中讨论、评议的基础上，通过记名表决，形成最终评估成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6.6 原始分值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方便定性评估和定量评估环节的评分和统计工作，在各二级指标下设定性评估和定量评估原始分，每个二级指标的定性评估和定量评估原始分均为100分，按照不同权重，分配至每个三级指标和考察要点，在评分计分中使用。根据一、二、三级博物馆在定性评估中的三级指标和定量指标上的权重差异，不同级别博物馆各考察要点的原始分值也有所差异，具体分值安排，详见附录A。</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6.7 评估成绩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各评估对象的最终评估成绩根据各二级指标的定性评估得分、定量评估得分，按照一定比重系数加权汇总计算形成。评估成绩实行百分制计分，满分100分，具体计算方法，详见附录B。</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6.8评估结果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国家一、二、三级博物馆分别得分80</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分、75</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分、70</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分以上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评估结果为“优秀”；分别得分</w:t>
      </w:r>
      <w:r>
        <w:rPr>
          <w:rFonts w:hint="eastAsia" w:ascii="仿宋_GB2312" w:hAnsi="仿宋_GB2312" w:eastAsia="仿宋_GB2312" w:cs="仿宋_GB2312"/>
          <w:color w:val="000000"/>
          <w:sz w:val="32"/>
          <w:szCs w:val="32"/>
          <w:lang w:val="en-US" w:eastAsia="zh-CN"/>
        </w:rPr>
        <w:t>80分以下60</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75分以下55</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70分以下50</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评估结果为“合格”；</w:t>
      </w:r>
      <w:r>
        <w:rPr>
          <w:rFonts w:hint="eastAsia" w:ascii="仿宋_GB2312" w:hAnsi="仿宋_GB2312" w:eastAsia="仿宋_GB2312" w:cs="仿宋_GB2312"/>
          <w:color w:val="000000"/>
          <w:sz w:val="32"/>
          <w:szCs w:val="32"/>
          <w:lang w:val="en-US" w:eastAsia="zh-CN"/>
        </w:rPr>
        <w:t>60分以下50</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lang w:val="en-US" w:eastAsia="zh-CN"/>
        </w:rPr>
        <w:t>55分以下45</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50分以下40</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分</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评估结果为“基本合格”；分别得分50分、45分、40分以下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评估结果为“不合格”。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6.9 相关要求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次博物馆运行评估的时间周期、参与范围、工作安排、申报文件格式、数据采集和评分规则等以评估机构拟定的评估方案和评估通知为准，评估数据的统计时间区间应与评估周期一致，评估指标中部分数据的统计方法，可以参见WW/T 0092-2018附录D的有关要求。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7.定性评估指标及考察要点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 规范管理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 组织管理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a）法人治理：主要考察博物馆推进法人治理结构，健全决策、执行和监督机制情况。具体考察内容包括：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——理事会或其他形式决策机构组成人员情况；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——理事会或其他形式决策机构履行职责，以及博物馆对于理事会相关决议、建议执行采纳情况；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——监事会或其他形式监督机构组建、运行情况。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b）制度规划：主要考察博物馆建立健全组织管理制度情况。具体考察内容包括：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——博物馆章程制定执行情况；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——博物馆中长期发展规划编制、执行情况；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——博物馆内部管理制度体系建设、完善、更新情况。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c）队伍建设：主要考察博物馆人才队伍建设情况。具体考察内容包括：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——博物馆管理人才、专业技能人才、研究人才、创新型人才的配备及培养情况；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——高水平创新团队及拔尖人才培养情况；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——博物馆根据不同岗位要求，开展分级分类培训，提升队伍整体素质能力情况。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7.1.2 藏品管理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a）藏品征集：主要考察博物馆依法合规充实馆藏资源情况。具体考察内容包括：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——博物馆藏品征集规划和年度计划制订、执行情况；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——博物馆新征集藏品对于完善收藏体系，满足展示、研究等方面的价值意义；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——博物馆征藏党史、新中国史、改革开放史、社会主义发展史、中华民族发展史、经济社会发展变迁物证以及流失海外中国文物的情况。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b）藏品登录：主要考察藏品档案建设及文物登录备案情况。具体考察内容包括：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——博物馆新搜集藏品依法建立藏品账目及档案的情况；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——单独设置文物档案，并区分文物等级的情况；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注：无文物类藏品的博物馆可参照评分。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——建立藏品数据库或藏品信息管理系统，健全藏品登录机制，采集登录藏品信息的情况；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——文物信息在主管文物部门备案的情况。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注：无文物类藏品的博物馆可参照评分。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c）藏品保管：主要考察藏品库房及保管装具配置及提用、运输等管理活动情况。具体考察内容包括：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——藏品库房管理及藏品保护装具配备情况；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——温度、湿度、光照等藏品保存、展示环境指标控制情况；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——藏品入库、上架、提用、运输等操作执行及工作记录情况。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d）藏品保护：主要考察藏品预防性保护、修复及日常养护情况（包括依托文物保护建筑设立的博物馆开展的文物保护建筑修缮情况）。具体考察内容包括：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——开展藏品预防性保护，针对文物常见多发病害病理开展研究和防治情况；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——针对珍贵濒危文物、材质脆弱文物、文物保护建筑的保护修复情况；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——藏品养护工作情况。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7.1.3 开放管理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a）信息公开：主要考察博物馆年报编制、发布和日常信息公开情况。具体考察内容包括：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——近三年博物馆年报编制、发布情况；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——博物馆向文物主管部门报送年报信息情况；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——通过博物馆网站等媒体平台，面向社会公示本馆管理、运行和公共文化服务工作情况。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b）参观服务：主要考察博物馆为到馆观众提供参观全过程服务和开放服务设施管理运行情况。具体考察内容包括：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——博物馆全年向社会开放情况；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——博物馆执行免费开放政策或对特殊人群免费、优惠开放情况；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——新增或更新的观众休息设施、卫生设施、文创产品销售服务设施、餐饮服务设施以及老年人、残疾人、婴幼儿等特殊人群服务设施配备情况；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——落实国家节能减排、绿色发展相关要求，积极推动博物馆基础设施、设备节能化改造和低耗能运行，助推碳达峰、碳中和重大战略实施的情况；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——通过互联网、新媒体为公众提供各类在线服务的情况；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——采取有效措施解决老年人运用智能技术困难问题的情况；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——有效落实常态化疫情防控工作要求为开放服务提供保障的情况。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7.1.4 安全管理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a）意识形态安全：主要考察博物馆认真贯彻落实党中央关于意识形态工作的决策部署开展各项相关工作的情况。具体考察内容包括：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——坚持正确方向，党建与业务相融合情况；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——博物馆落实意识形态工作责任制，健全并落实各级主体责任，将意识形态工作纳入工作规划、计划和重要议事日程，纳入领导班子和成员目标管理的情况；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——博物馆加强意识形态阵地建设，在展陈、教育、传播、文创、信息发布等各项工作中严把政治导向，按要求履行活动报告、审批程序，加强内容审核管理的情况；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——博物馆强化意识形态风险防控，开展工作人员教育培训，健全舆情监测、研判、回应机制，制订、执行意识形态安全应急预案，及时开展舆情处置和舆论引导工作，防范化解意识形态领域安全风险的情况。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b）藏品安全：主要考察博物馆藏品安全风险防控情况。具体考察内容包括：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——按照GA 27-2002、GB/T 16571-2012及相关标准要求，在库房和展厅内，配备保障藏品安全的设备、设施情况；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——对藏品安全保障设备、设施的检查、维护情况；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——对珍贵文物和易损藏品的特殊保管情况。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c）公共安全：主要考察博物馆公共安全保障情况。具体考察内容包括：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——博物馆安保人员配备和日常管理工作情况；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——按照GA 27-2002、GB/T 16571-2012及相关标准有关要求，在开放区域内，配备保障公共安全的消防、安防设施设备情况；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——对消防安全设备设施的使用情况；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——博物馆针对突发事件的预防措施、应急预案、善后处置措施准备情况；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——定期组织开展消防、安防演练情况；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——属地公安、消防部门对博物馆安保工作的检查、验收情况。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d）信息安全：主要考察博物馆信息系统建设、信息安全保护能力有关情况。具体考察内容包括：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——博物馆信息系统架构与用户权限管理体系建设情况；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——博物馆信息安全保护、数据资源管理制度制订和执行情况；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——博物馆信息安全管理人员配备和日常工作情况；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——参照GB/T 22239-2019及相关标准有关要求，落实信息系统安全等级保护有关情况。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 服务产出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7.2.1 科学研究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研产出：主要考察博物馆在科学研究、学术研究、考古发掘等方面取得成果（包括但不限于：针对藏品价值认知、藏品保护、藏品科学管理和藏品利用有关的研究成果；与陈列展览有关的理论和方法研究成果；与社会教育有关的原理和方法研究成果；与观众心理、观众行为、观众调查方法等有关的研究成果；与博物馆管理有关的研究成果；与博物馆主题文化有关的研究成果；具有考古资质的博物馆开展考古发掘项目的</w:t>
      </w:r>
      <w:r>
        <w:rPr>
          <w:rFonts w:hint="eastAsia" w:ascii="仿宋_GB2312" w:hAnsi="仿宋_GB2312" w:cs="仿宋_GB2312"/>
          <w:color w:val="000000"/>
          <w:sz w:val="32"/>
          <w:szCs w:val="32"/>
          <w:lang w:eastAsia="zh-CN"/>
        </w:rPr>
        <w:t>成果）</w:t>
      </w:r>
      <w:r>
        <w:rPr>
          <w:rFonts w:hint="eastAsia" w:ascii="仿宋_GB2312" w:hAnsi="仿宋_GB2312" w:eastAsia="仿宋_GB2312" w:cs="仿宋_GB2312"/>
          <w:color w:val="000000"/>
          <w:sz w:val="32"/>
          <w:szCs w:val="32"/>
        </w:rPr>
        <w:t>。具体考察内容包括：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——博物馆在科学研究、学术研究方面综合实力，以及开展科研活动和取得成果（包括但不限于：发表学术论文、出版学术专著、承担科研项目、考古发掘项目、课题、获得专利、参与制订标准）的总体水平；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——代表性研究成果的学术价值、应用价值、创新价值情况；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——代表性研究成果影响力和获奖情况。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b）科研服务：主要考察博物馆为高等学校、科研院所、社会团体和馆外研究者进行研究提供服务情况。具体考察内容包括：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——面向其他博物馆、高等学校、科研院所开放藏品和学术研究资料，为专业研究者提供研究便利的情况；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——博物馆发挥本馆藏品、学术资源优势，与高等学校、科研院所等单位合作开展学术研究、承担科研项目、</w:t>
      </w:r>
      <w:r>
        <w:rPr>
          <w:rFonts w:hint="eastAsia" w:ascii="仿宋_GB2312" w:hAnsi="仿宋_GB2312" w:cs="仿宋_GB2312"/>
          <w:color w:val="000000"/>
          <w:sz w:val="32"/>
          <w:szCs w:val="32"/>
          <w:lang w:eastAsia="zh-CN"/>
        </w:rPr>
        <w:t>考古发掘项目、</w:t>
      </w:r>
      <w:r>
        <w:rPr>
          <w:rFonts w:hint="eastAsia" w:ascii="仿宋_GB2312" w:hAnsi="仿宋_GB2312" w:eastAsia="仿宋_GB2312" w:cs="仿宋_GB2312"/>
          <w:color w:val="000000"/>
          <w:sz w:val="32"/>
          <w:szCs w:val="32"/>
        </w:rPr>
        <w:t>举办学术活动的情况；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——与高等学校、科研院所联合建立、运营实验室、研究室、科研基地、科研工作站的情况。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7.2.2 陈列展览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a）基本陈列：主要考察博物馆基本陈列体系建设和现有基本陈列的数量、水平。依托文物保护单位设立的博物馆，对古迹遗址的保护展示或在文物建筑中的原状陈列可</w:t>
      </w:r>
      <w:r>
        <w:rPr>
          <w:rFonts w:hint="eastAsia" w:ascii="仿宋_GB2312" w:hAnsi="仿宋_GB2312" w:eastAsia="仿宋_GB2312" w:cs="仿宋_GB2312"/>
          <w:color w:val="000000"/>
          <w:sz w:val="32"/>
          <w:szCs w:val="32"/>
          <w:lang w:eastAsia="zh-CN"/>
        </w:rPr>
        <w:t>纳入</w:t>
      </w:r>
      <w:r>
        <w:rPr>
          <w:rFonts w:hint="eastAsia" w:ascii="仿宋_GB2312" w:hAnsi="仿宋_GB2312" w:eastAsia="仿宋_GB2312" w:cs="仿宋_GB2312"/>
          <w:color w:val="000000"/>
          <w:sz w:val="32"/>
          <w:szCs w:val="32"/>
        </w:rPr>
        <w:t>基本陈列评分</w:t>
      </w:r>
      <w:r>
        <w:rPr>
          <w:rFonts w:hint="eastAsia" w:ascii="仿宋_GB2312" w:hAnsi="仿宋_GB2312" w:eastAsia="仿宋_GB2312" w:cs="仿宋_GB2312"/>
          <w:color w:val="000000"/>
          <w:sz w:val="32"/>
          <w:szCs w:val="32"/>
          <w:lang w:eastAsia="zh-CN"/>
        </w:rPr>
        <w:t>范畴</w:t>
      </w:r>
      <w:r>
        <w:rPr>
          <w:rFonts w:hint="eastAsia" w:ascii="仿宋_GB2312" w:hAnsi="仿宋_GB2312" w:eastAsia="仿宋_GB2312" w:cs="仿宋_GB2312"/>
          <w:color w:val="000000"/>
          <w:sz w:val="32"/>
          <w:szCs w:val="32"/>
        </w:rPr>
        <w:t>。具体考察内容包括：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——博物馆基本陈列体系建设，以及现有基本陈列的总体质量情况；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——基本陈列中展品、展项更新、充实的频率与幅度（原状陈列不考察</w:t>
      </w:r>
      <w:r>
        <w:rPr>
          <w:rFonts w:hint="eastAsia" w:ascii="仿宋_GB2312" w:hAnsi="仿宋_GB2312" w:eastAsia="仿宋_GB2312" w:cs="仿宋_GB2312"/>
          <w:color w:val="000000"/>
          <w:sz w:val="32"/>
          <w:szCs w:val="32"/>
          <w:lang w:eastAsia="zh-CN"/>
        </w:rPr>
        <w:t>此项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——基本陈列文化品牌的社会认知、认可度，以及获得奖励、推介的情况。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b）临时展览：主要考察博物馆临时展览体系建设和评估周期内举办临时展览的数量和水平。具体考察内容包括：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——博物馆临时展览体系建设，以及评估周期内举办临时展览的总体质量情况；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——代表性临时展览主题定位与博物馆</w:t>
      </w:r>
      <w:r>
        <w:rPr>
          <w:rFonts w:hint="eastAsia" w:ascii="仿宋_GB2312" w:hAnsi="仿宋_GB2312" w:eastAsia="仿宋_GB2312" w:cs="仿宋_GB2312"/>
          <w:color w:val="000000"/>
          <w:sz w:val="32"/>
          <w:szCs w:val="32"/>
          <w:lang w:eastAsia="zh-CN"/>
        </w:rPr>
        <w:t>定位</w:t>
      </w:r>
      <w:r>
        <w:rPr>
          <w:rFonts w:hint="eastAsia" w:ascii="仿宋_GB2312" w:hAnsi="仿宋_GB2312" w:eastAsia="仿宋_GB2312" w:cs="仿宋_GB2312"/>
          <w:color w:val="000000"/>
          <w:sz w:val="32"/>
          <w:szCs w:val="32"/>
        </w:rPr>
        <w:t>的契合程度；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——代表性临时展览的内容策划水平，以及学术性、思想性情况；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——代表性临时展览形式设计水平，以及陈列主题和思想内容情况；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——代表性临时展览运用辅助展品和现代信息技术手段提升文化传播水平的情况；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——代表性临时展览文化品牌社会认知、认可度，以及获得奖励、推介的情况。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7.2.3 教育服务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a）讲解</w:t>
      </w:r>
      <w:r>
        <w:rPr>
          <w:rFonts w:hint="eastAsia" w:ascii="仿宋_GB2312" w:hAnsi="仿宋_GB2312" w:eastAsia="仿宋_GB2312" w:cs="仿宋_GB2312"/>
          <w:color w:val="000000"/>
          <w:sz w:val="32"/>
          <w:szCs w:val="32"/>
          <w:lang w:eastAsia="zh-CN"/>
        </w:rPr>
        <w:t>服务</w:t>
      </w:r>
      <w:r>
        <w:rPr>
          <w:rFonts w:hint="eastAsia" w:ascii="仿宋_GB2312" w:hAnsi="仿宋_GB2312" w:eastAsia="仿宋_GB2312" w:cs="仿宋_GB2312"/>
          <w:color w:val="000000"/>
          <w:sz w:val="32"/>
          <w:szCs w:val="32"/>
        </w:rPr>
        <w:t>：主要考察博物馆讲解队伍建设和服务能力，面向公众开展讲解导览服务的情况。具体考察内容包括：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——讲解队伍建设和服务能力情况；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——日常公益性讲解导览服务情况；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——馆长、专家导览等特色化讲解导览服务情况；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——智慧导览服务情况。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b）教育活动：主要考察博物馆自主策划、实施各类品牌、特色教育活动（包括馆内教育活动、特色教育课程、研学旅行活动、流动博物馆活动等）的质量和水平。具体考察内容包括：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——博物馆教育活动规划编制与实施的总体情况；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——接待青少年群体利用博物馆资源，组织开展爱国主义、革命传统、中华优秀传统文化、生态文明、国家安全、“大思政课”等主题的研学实践教育活动的情况；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——博物馆与当地各类学校联系，签订馆校共建协议，开展博物馆进校园活动的情况；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——博物馆根据青少年群体认知规律和学校教育教学需求，结合传统节日、纪念日等，组织开展各类经常性教育课程、教育活动的质量水平；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——代表性教育活动的质量水平；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——代表性教育活动面向学校、社区等群体和互联网平台推广情况，以及大中小学生、社区公众、网络受众的参与情况；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——代表性教育活动品牌创建及其社会认知、认可度。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c）公益鉴定：主要考察博物馆开展公益鉴定服务的情况。具体考察内容包括：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——博物馆公益鉴定服务制度、规划的编制情况；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——博物馆公益鉴定服务实施的总体情况，如鉴定文物的类别，社会认知、认可度，服务推广情况。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7.2.4 文化传播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a）馆际协作：主要考察向国内其他博物馆输出文化资源，面向中小博物馆、非国有博物馆开展对口帮扶、馆际协作的情况。具体考察内容包括：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——向国内其他博物馆输出展览、展品的综合质量水平；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——举办国内学术研讨活动</w:t>
      </w:r>
      <w:r>
        <w:rPr>
          <w:rFonts w:hint="eastAsia" w:ascii="仿宋_GB2312" w:hAnsi="仿宋_GB2312" w:eastAsia="仿宋_GB2312" w:cs="仿宋_GB2312"/>
          <w:color w:val="000000"/>
          <w:sz w:val="32"/>
          <w:szCs w:val="32"/>
          <w:lang w:val="en-US" w:eastAsia="zh-CN"/>
        </w:rPr>
        <w:t>等文化交流活动</w:t>
      </w:r>
      <w:r>
        <w:rPr>
          <w:rFonts w:hint="eastAsia" w:ascii="仿宋_GB2312" w:hAnsi="仿宋_GB2312" w:eastAsia="仿宋_GB2312" w:cs="仿宋_GB2312"/>
          <w:color w:val="000000"/>
          <w:sz w:val="32"/>
          <w:szCs w:val="32"/>
        </w:rPr>
        <w:t>的综合质量水平；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——面向中小博物馆、非国有博物馆开展对口帮扶、馆际协作情况；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——实施“博物馆+”战略，与教育、科技、旅游、商业、传媒、设计等各类社会机构开展跨界合作情况。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b）国际交流：主要考察博物馆与国（境）外博物馆、文化机构开展文化交流，组织实施国际交流展览、学术交流活动的情况。具体考察内容包括：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——独立或参与举办进出境展览的综合质量水平；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——举办国际学术研讨活动的综合质量水平；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——参加国际学术交流活动的总体情况；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——组织开展或参与文物保护、考古、科研等领域国际合作项目的情况。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数字传播：主要考察发挥自身文化资源优势，加强与融媒体合作，创新线上数字化体验产品和服务，发展云展览、云讲解、云教育（云课程）、短视频、高清直播、虚拟展厅、沉浸式体验等，构建线上线下融合的博物馆传播体系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——为便于社会利用藏品资源，在本馆官方网站等渠道开放查询、展示藏品数据信息和高清影像的情况；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——与融媒体平台合作，针对网络受众推出的云展览、云讲解、云教育（云课程）、短视频、高清直播、虚拟展厅、沉浸式体验等各类线上数字化体验产品的情况；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——代表性线上数字化体验产品的质量水平。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d）文创经营：主要考察博物馆通过授权等手段开发文创产品，建立文创品牌，推动文化传播的情况。具体考察内容包括：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——博物馆通过授权等手段开发文创产品的种类、特色以及获得经济、社会效益的情况；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——代表性文创产品质量水平；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——代表性文创产品的品牌创建及其社会认知、认可度。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 社会评价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7.3.1 观众反馈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a）观众结构：主要考察博物馆接待的观众数量及构成情况。具体考察内容包括：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——博物馆年均接待观众数量规模与博物馆接待能力相适应情况；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——博物馆观众构成与博物馆文化主题相适应情况。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b）观众满意度：主要考察观众对博物馆的展览、环境、服务等方面</w:t>
      </w:r>
      <w:r>
        <w:rPr>
          <w:rFonts w:hint="eastAsia" w:ascii="仿宋_GB2312" w:hAnsi="仿宋_GB2312" w:eastAsia="仿宋_GB2312" w:cs="仿宋_GB2312"/>
          <w:color w:val="000000"/>
          <w:sz w:val="32"/>
          <w:szCs w:val="32"/>
          <w:lang w:val="en-US" w:eastAsia="zh-CN"/>
        </w:rPr>
        <w:t>作</w:t>
      </w:r>
      <w:r>
        <w:rPr>
          <w:rFonts w:hint="eastAsia" w:ascii="仿宋_GB2312" w:hAnsi="仿宋_GB2312" w:eastAsia="仿宋_GB2312" w:cs="仿宋_GB2312"/>
          <w:color w:val="000000"/>
          <w:sz w:val="32"/>
          <w:szCs w:val="32"/>
        </w:rPr>
        <w:t>出的总体评价情况。具体考察内容包括：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——博物馆观众调查制度建设与调查工作开展情况；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——近期观众调查反映的观众满意度情况；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——观众对博物馆的展览、环境、服务等方面</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出的总体评价。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7.3.2 社会影响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a）社会关注度：主要考察公众、媒体等对博物馆的关注程度。具体考察内容包括：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——互联网公开数据显示的博物馆公众关注程度情况；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——互联网公开数据显示的博物馆媒体关注程度情况。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b）奖励与荣誉：主要考察博物馆获得党委、政府或社会团体的表彰奖励情况。具体考察内容包括：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——评估周期内，党委、政府或社会组织授予博物馆的组织荣誉与奖励情况；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——评估周期内，党委、政府或社会组织授予博物馆员工的个人荣誉与奖励情况。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c）公众参与：主要考察博物馆与公众建立联系、获得支持的情况。具体考察内容包括：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——“博物馆之友”活动组织开展情况；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——博物馆志愿者组织建设与服务工作情况；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——博物馆接受社会捐助情况。</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8.定量评估指标及考察要点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 规范管理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 组织管理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a）召开理事会次数：评估周期内，博物馆理事会召开会议的次数，以次为单位（未成立理事会的，本项数据为0）；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b）新增制度数量：评估周期内，博物馆新增制订或重新修订发布的各类制度文件总数，以项为单位；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c）副高级职称、正高级职称人员总数：评估周期末，本馆在职人员中，具有高级专业技术资格（职称）的专业技术人员数量，以人为单位；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d）平均从业年限：本馆专业技术人员从事博物馆工作的平均年限。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出国（境）进修（培训）人员：评估周期内，在国（境）外进修或培训与博物馆业务相关的博物馆在职人员（含访问学者），其中“进修”持续时间须在1个月（含）以上，“培训”须在1周（含）以上，以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国内进修（培训）人员：评估周期内，在国内高等学校、科研机构、社会团体、其他机构进修或培训与博物馆业务相关的博物馆在职人员（含访问学者），其中“进修”持续时间须在1个月（含）以上，“培训”须在1周（含）以上，以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 藏品管理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a）年度新增藏品数：评估周期内，博物馆通过购买、接受捐赠、依法交换等法律、行政法规规定的方式取得并已建档的藏品数量，以件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为单位。自然科学类博物馆自主研发制作并长久保存的标本、模型、辅助展品视同于藏品。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b）新增备案登录藏品数量：评估周期内，通过藏品管理信息系统，新增登录数据或建立数字化藏品档案的藏品数量，或向属地文物主管部门备案藏品档案的藏品数量，以件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c）修复文物数：评估周期内，博物馆修复的本馆藏品数，包括本馆自己修复和委托其他单位修复的藏品，以件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为单位。遗址类博物馆对本馆范围内不可移动文物的保护修复工作可以视为藏品修复工作。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d）修复本馆文物数：评估周期内，博物馆独立自主修复的本馆藏品数，不包括委托其他单位修复的藏品，以件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为单位。遗址类博物馆对本馆范围内不可移动文物的保护修复工作可以视为藏品修复工作。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e）采集藏品三维影像数据量：评估周期内，采集保存文物三维影像信息，并应用于推广和传播的文物藏品数量，以件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f）库房面积：评估周期末，博物馆拥有藏品库房的实际面积，有多处馆舍的，可以合并计算，以平方米为单位。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8.1.3 开放管理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a）全年开放天数：评估周期内，博物馆全年对外开放天数，以天为单位。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b）在线服务总量：评估周期内，博物馆通过互联网、新媒体为公众提供参观预约、虚拟展示、藏品赏析、资料分享、咨询答疑、文化产品营销、互动联系等在线服务的人次总量，以人次为单位。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8.1.4 安全管理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a）安保人员数：评估周期末，博物馆在职的安保人员，包括专职保卫干部和外聘的保安人员，以人为单位。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b）安全演练次数：评估周期内，博物馆组织开展有记录的安防、消防演练的次数，以次为单位。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 服务产出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 科学研究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a）科研项目数：评估周期内，博物馆承担的各类科研项目总数（含考古发掘项目），以立项年度为准，以项为单位。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省部级（含）以上研究项目：包含国际合作研究项目、国家级项目以及其他省级（含）以上项目。其中，国际合作研究项目指与博物馆自身业务相关且具有协议的项目；国家级项目指博物馆承担的中央各部委、国家自然科学基金、国家社会科学基金、国家艺术基金项目；其他省级（含）以上项目指各省、自治区、直辖市政府委托项目，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c）出版物数：评估周期内，博物馆编辑出版的各类出版物总数，以册为单位。其中学术专著（译著、编著）、教材、研究性图录、科普读物可根据WW/T0092-2018附录D规定的科研产出数量换算倍数关系加倍计数。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d）发表论文数：评估周期内，博物馆工作人员在各类期刊、刊物上发表的学术论文总数，以篇为单位。其中在核心期刊发表学术论文可根据WW/T</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0092-2018附录D规定的科研产出数量换算倍数关系加倍计数。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e）获得专利数：评估周期内，博物馆获得专利行政部门正式批准，取得专利证书，专利权归属本馆的专利项目数量，以项为单位。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f）参与编制标准数：评估周期内，博物馆参与编制国家、行业、地方标准的数量，以项为单位。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 陈列展览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a）基本陈列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含原状陈列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数：评估周期内，博物馆内开放的常设基本陈列数量，包括在文物建筑中举办的原状陈列，按照陈列项目统计，以个为单位。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b）馆内原创临时展览数：评估周期内，博物馆利用本馆资源，本馆负责策展，内容及形式自主设计并组织展示，在本馆内自主举办的临时展览数量，按照展览项目统计，以个为单位。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c）馆际合作展览数：评估周期内，博物馆与其他国内博物馆或相关机构联合策划举办的临时展览数量（单纯出借文物参展不在此列）。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 教育服务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a）讲解队伍人数：评估周期末，博物馆讲解队伍中的专职讲解员和志愿者讲解员人数，以人为单位。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b）人工讲解服务人次：评估周期内，博物馆人工讲解年服务的观众数量，以人次为单位。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c）智慧导览设备终端数：评估周期末，博物馆拥有的智慧导览设备终端数，以台为单位。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d）智慧导览设备服务人次：评估周期内，博物馆智慧导览设备年服务的观众数量，以人次为单位。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e）线下教育活动数：评估周期内，博物馆线下策划举办的课程、讲座、研学活动、进校园活动等各类教育活动场次数，以场为单位。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f）青少年教育课程数：评估周期内，结合大中小学生认知规律和学校教育教学需要研发博物馆教育课程的品类数量，按照课程门类统计，同类课程多次开展，按一课统计，以课为单位。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g）共建学校数量：评估周期内，博物馆与当地各类学校联系，签订馆校共建协议或举办馆校互动活动的合作学校数量，以校为单位。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学校教育服务次数：评估周期内，接待各类大中小学校利用博物馆资源，组织开展爱国主义、革命传统、中华优秀传统文化、生态文明、国家安全、“大思政课”等主题的研学实践教育、教学活动的次数，以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i）培训师资人数：评估周期内，博物馆与各类学校合作通过教师研习、双师课堂、短期培训、联合教研等方式，联合培养博物馆教育培训师资人数，以人为单位。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j）教育活动参与人数：评估周期内，博物馆接纳观众进行社会实践、教育活动的人次总数，以人次为单位。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k）鉴定场次：评估周期内，博物馆策划举办的公益鉴定服务场次数，以场为单位。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l）鉴定数量：评估周期内，博物馆开展公益鉴定服务时鉴定的</w:t>
      </w:r>
      <w:r>
        <w:rPr>
          <w:rFonts w:hint="eastAsia" w:ascii="仿宋_GB2312" w:hAnsi="仿宋_GB2312" w:cs="仿宋_GB2312"/>
          <w:color w:val="000000"/>
          <w:sz w:val="32"/>
          <w:szCs w:val="32"/>
          <w:lang w:eastAsia="zh-CN"/>
        </w:rPr>
        <w:t>文物</w:t>
      </w:r>
      <w:r>
        <w:rPr>
          <w:rFonts w:hint="eastAsia" w:ascii="仿宋_GB2312" w:hAnsi="仿宋_GB2312" w:eastAsia="仿宋_GB2312" w:cs="仿宋_GB2312"/>
          <w:color w:val="000000"/>
          <w:sz w:val="32"/>
          <w:szCs w:val="32"/>
        </w:rPr>
        <w:t>数量，以件为单位。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8.2.4 文化传播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a）输出展览数：评估周期内，博物馆将本馆原创展览向国内输出的临时展览的次数，不包括本馆提供展品参加展览的情况，按展览场次统计，以次为单位。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b）入境展览数：评估周期内，博物馆由国外、境外博物馆或相关机构引进的展览数量，按照展览项目统计，以个为单位。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c）出境展览数：评估周期内，博物馆向国外、境外博物馆或相关机构输出的出境展览数量，按照展览项目统计，以个为单位。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d）国内学术研讨活动次数：评估周期内，博物馆主办或承办的主题与博物馆业务相关的学术论坛、研讨会、座谈会、在线对话等国内各类学术研讨活动，以次为单位。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e）国际学术研讨活动次数：评估周期内，博物馆主办或承办的主题与博物馆业务相关，有国外、境外机构或个人参加的学术论坛、研讨会、座谈会、在线对话等各类双边、多边国际学术研讨活动，以次为单位。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f）文化创意产品数：评估周期内，博物馆依托馆藏文化资源，新开发并上市销售的文化创意产品种类数量，包括由博物馆自主或委托、授权企业或与企业合作开发、销售的文化创意产品种类，以类为单位。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g）文化创意产品销售收入：评估周期内，博物馆自主或委托、授权企业销售博物馆文创产品取得的收入总额，以元为单位。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h）公开藏品信息数量：评估周期内，博物馆在网站、官方微信、官方微博等渠道公开未经陈列展览展出的藏品数量，以件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为单位。公开的文物藏品应当有年代、来源以及历史、艺术、科学等价值方面的介绍；其他类型藏品应有必要的介绍。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i）线上数字化体验产品数量：评估周期内由博物馆开发并上线运行的云展览、云讲解、云教育（云课程）、短视频、高清直播、虚拟展厅、沉浸式体验等线上数字化体验产品或在线活动数量，以项为单位。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j）线上数字化体验产品浏览量：评估周期内由博物馆开发并上线运行的云展览、云讲解、云教育（云课程）、短视频、高清直播、虚拟展厅、沉浸式体验等线上数字化体验产品或在线活动总浏览量，以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8.3 社会评价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8.3.1 观众反馈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a）年度观众总数：评估周期内，博物馆接待的观众总数，拥有多处馆舍的，观众人数可以合并计算，以人次为单位。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b）临时展览参观人数：评估周期内，博物馆临时展览参观人数，以人次为单位。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c）未成年观众人数：评估周期内，博物馆接待的18岁以下未成年观众数，以人次为单位。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d）国（境）外观众人数：评估周期内，博物馆接待国外以及台、港、澳观众数量，以人次为单位。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e）免费参观人数：评估周期内，博物馆观众总数中免费接待观众总人数，以人次为单位。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f）受控参观人数：评估周期内，遇重大突发公共卫生事件或自然灾害等不可抗力情况下，博物馆在有关部门限定范围内接待观众总人数，以人次为单位。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8.3.2 社会影响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a）网站综合浏览量：博物馆网站年度综合浏览量，以次为单位统计。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b）新媒体关注量：评估周期末，博物馆各新媒体帐号关注人数总和，以人为单位统计。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c）新媒体访问量：评估周期内，博物馆各新媒体帐号浏览总量，以次为单位统计。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d）主流媒体报道次数：地市级以上主流平面媒体、广播电视媒体、网络媒体专题报道博物馆及活动宣传内容的次数。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e）部（省）级集体奖励：评估周期内，博物馆获得部委（省）级以上单位颁发的奖励或荣誉称号，以项为单位。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f）部（省）级个人奖励：评估周期内，博物馆工作人员获得部委（省）级以上单位颁发的奖励或荣誉称号，以项为单位。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g）其他集体奖励：评估周期内，博物馆获得地市（厅）级以下单位颁发的各类奖励或荣誉称号，以项为单位。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h）其他个人奖励：评估周期内，博物馆工作人员获得地市（厅）级以下单位颁发的各类奖励或荣誉称号，以项为单位。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i）接受捐赠次数：评估周期内，博物馆接受各类社会捐助的次数，以次为单位。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j）接受捐赠金额：评估周期内，博物馆接受各类社会捐助的总金额，以元为单位。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k）志愿者人数：评估周期末，博物馆注册志愿者总人数</w:t>
      </w:r>
      <w:r>
        <w:rPr>
          <w:rFonts w:hint="eastAsia" w:ascii="仿宋_GB2312" w:hAnsi="仿宋_GB2312" w:cs="仿宋_GB2312"/>
          <w:color w:val="000000"/>
          <w:sz w:val="32"/>
          <w:szCs w:val="32"/>
          <w:lang w:eastAsia="zh-CN"/>
        </w:rPr>
        <w:t>，以人为单位</w:t>
      </w:r>
      <w:r>
        <w:rPr>
          <w:rFonts w:hint="eastAsia" w:ascii="仿宋_GB2312" w:hAnsi="仿宋_GB2312" w:eastAsia="仿宋_GB2312" w:cs="仿宋_GB2312"/>
          <w:color w:val="000000"/>
          <w:sz w:val="32"/>
          <w:szCs w:val="32"/>
        </w:rPr>
        <w:t>。</w:t>
      </w:r>
    </w:p>
    <w:p>
      <w:pPr>
        <w:jc w:val="center"/>
        <w:rPr>
          <w:rFonts w:ascii="黑体" w:hAnsi="Times New Roman" w:eastAsia="黑体" w:cs="Times New Roman"/>
          <w:color w:val="000000"/>
          <w:kern w:val="0"/>
          <w:sz w:val="28"/>
          <w:szCs w:val="28"/>
        </w:rPr>
      </w:pPr>
      <w:r>
        <w:rPr>
          <w:color w:val="000000"/>
          <w:sz w:val="28"/>
          <w:szCs w:val="28"/>
        </w:rPr>
        <w:br w:type="page"/>
      </w:r>
      <w:r>
        <w:rPr>
          <w:rFonts w:hint="eastAsia" w:ascii="黑体" w:hAnsi="Times New Roman" w:eastAsia="黑体" w:cs="Times New Roman"/>
          <w:color w:val="000000"/>
          <w:kern w:val="0"/>
          <w:sz w:val="28"/>
          <w:szCs w:val="28"/>
        </w:rPr>
        <w:t>附录A</w:t>
      </w:r>
    </w:p>
    <w:p>
      <w:pPr>
        <w:jc w:val="center"/>
        <w:rPr>
          <w:rFonts w:ascii="黑体" w:hAnsi="Times New Roman" w:eastAsia="黑体" w:cs="Times New Roman"/>
          <w:color w:val="000000"/>
          <w:kern w:val="0"/>
          <w:sz w:val="28"/>
          <w:szCs w:val="28"/>
        </w:rPr>
      </w:pPr>
      <w:r>
        <w:rPr>
          <w:rFonts w:hint="eastAsia" w:ascii="黑体" w:hAnsi="Times New Roman" w:eastAsia="黑体" w:cs="Times New Roman"/>
          <w:color w:val="000000"/>
          <w:kern w:val="0"/>
          <w:sz w:val="28"/>
          <w:szCs w:val="28"/>
        </w:rPr>
        <w:t>（规范性）</w:t>
      </w:r>
    </w:p>
    <w:p>
      <w:pPr>
        <w:jc w:val="center"/>
        <w:rPr>
          <w:rFonts w:ascii="黑体" w:hAnsi="Times New Roman" w:eastAsia="黑体" w:cs="Times New Roman"/>
          <w:color w:val="000000"/>
          <w:kern w:val="0"/>
          <w:sz w:val="28"/>
          <w:szCs w:val="28"/>
        </w:rPr>
      </w:pPr>
      <w:r>
        <w:rPr>
          <w:rFonts w:ascii="黑体" w:hAnsi="Times New Roman" w:eastAsia="黑体" w:cs="Times New Roman"/>
          <w:color w:val="000000"/>
          <w:kern w:val="0"/>
          <w:sz w:val="28"/>
          <w:szCs w:val="28"/>
        </w:rPr>
        <w:t>博物馆运行评估指标权重及考察要点</w:t>
      </w:r>
    </w:p>
    <w:p>
      <w:pPr>
        <w:rPr>
          <w:color w:val="000000"/>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230"/>
        <w:gridCol w:w="4644"/>
        <w:gridCol w:w="600"/>
        <w:gridCol w:w="636"/>
        <w:gridCol w:w="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67" w:type="dxa"/>
            <w:vMerge w:val="restart"/>
            <w:noWrap w:val="0"/>
            <w:vAlign w:val="center"/>
          </w:tcPr>
          <w:p>
            <w:pPr>
              <w:jc w:val="center"/>
              <w:rPr>
                <w:b/>
                <w:bCs/>
                <w:color w:val="000000"/>
                <w:sz w:val="24"/>
                <w:szCs w:val="24"/>
              </w:rPr>
            </w:pPr>
            <w:r>
              <w:rPr>
                <w:rFonts w:hint="eastAsia"/>
                <w:b/>
                <w:bCs/>
                <w:color w:val="000000"/>
                <w:sz w:val="24"/>
                <w:szCs w:val="24"/>
              </w:rPr>
              <w:t>序号</w:t>
            </w:r>
          </w:p>
        </w:tc>
        <w:tc>
          <w:tcPr>
            <w:tcW w:w="1230" w:type="dxa"/>
            <w:vMerge w:val="restart"/>
            <w:noWrap w:val="0"/>
            <w:vAlign w:val="center"/>
          </w:tcPr>
          <w:p>
            <w:pPr>
              <w:jc w:val="center"/>
              <w:rPr>
                <w:b/>
                <w:bCs/>
                <w:color w:val="000000"/>
                <w:sz w:val="24"/>
                <w:szCs w:val="24"/>
              </w:rPr>
            </w:pPr>
            <w:r>
              <w:rPr>
                <w:rFonts w:hint="eastAsia"/>
                <w:b/>
                <w:bCs/>
                <w:color w:val="000000"/>
                <w:sz w:val="24"/>
                <w:szCs w:val="24"/>
              </w:rPr>
              <w:t>指标层级</w:t>
            </w:r>
          </w:p>
        </w:tc>
        <w:tc>
          <w:tcPr>
            <w:tcW w:w="4644" w:type="dxa"/>
            <w:vMerge w:val="restart"/>
            <w:noWrap w:val="0"/>
            <w:vAlign w:val="center"/>
          </w:tcPr>
          <w:p>
            <w:pPr>
              <w:jc w:val="center"/>
              <w:rPr>
                <w:b/>
                <w:bCs/>
                <w:color w:val="000000"/>
                <w:sz w:val="24"/>
                <w:szCs w:val="24"/>
              </w:rPr>
            </w:pPr>
            <w:r>
              <w:rPr>
                <w:rFonts w:hint="eastAsia"/>
                <w:b/>
                <w:bCs/>
                <w:color w:val="000000"/>
                <w:sz w:val="24"/>
                <w:szCs w:val="24"/>
              </w:rPr>
              <w:t>指标名称或考察要点</w:t>
            </w:r>
          </w:p>
        </w:tc>
        <w:tc>
          <w:tcPr>
            <w:tcW w:w="1781" w:type="dxa"/>
            <w:gridSpan w:val="3"/>
            <w:noWrap w:val="0"/>
            <w:vAlign w:val="center"/>
          </w:tcPr>
          <w:p>
            <w:pPr>
              <w:jc w:val="center"/>
              <w:rPr>
                <w:rFonts w:hint="eastAsia"/>
                <w:b/>
                <w:bCs/>
                <w:color w:val="000000"/>
                <w:sz w:val="24"/>
                <w:szCs w:val="24"/>
              </w:rPr>
            </w:pPr>
            <w:r>
              <w:rPr>
                <w:rFonts w:hint="eastAsia"/>
                <w:b/>
                <w:bCs/>
                <w:color w:val="000000"/>
                <w:sz w:val="24"/>
                <w:szCs w:val="24"/>
              </w:rPr>
              <w:t>指标权重</w:t>
            </w:r>
          </w:p>
          <w:p>
            <w:pPr>
              <w:jc w:val="center"/>
              <w:rPr>
                <w:b/>
                <w:bCs/>
                <w:color w:val="000000"/>
                <w:sz w:val="24"/>
                <w:szCs w:val="24"/>
              </w:rPr>
            </w:pPr>
            <w:r>
              <w:rPr>
                <w:rFonts w:hint="eastAsia"/>
                <w:b/>
                <w:bCs/>
                <w:color w:val="000000"/>
                <w:sz w:val="24"/>
                <w:szCs w:val="24"/>
              </w:rPr>
              <w:t>或原始分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67" w:type="dxa"/>
            <w:vMerge w:val="continue"/>
            <w:noWrap w:val="0"/>
            <w:vAlign w:val="center"/>
          </w:tcPr>
          <w:p>
            <w:pPr>
              <w:ind w:firstLine="422"/>
              <w:rPr>
                <w:b/>
                <w:bCs/>
                <w:color w:val="000000"/>
                <w:sz w:val="24"/>
                <w:szCs w:val="24"/>
              </w:rPr>
            </w:pPr>
          </w:p>
        </w:tc>
        <w:tc>
          <w:tcPr>
            <w:tcW w:w="1230" w:type="dxa"/>
            <w:vMerge w:val="continue"/>
            <w:noWrap w:val="0"/>
            <w:vAlign w:val="center"/>
          </w:tcPr>
          <w:p>
            <w:pPr>
              <w:ind w:firstLine="422"/>
              <w:jc w:val="center"/>
              <w:rPr>
                <w:b/>
                <w:bCs/>
                <w:color w:val="000000"/>
                <w:sz w:val="24"/>
                <w:szCs w:val="24"/>
              </w:rPr>
            </w:pPr>
          </w:p>
        </w:tc>
        <w:tc>
          <w:tcPr>
            <w:tcW w:w="4644" w:type="dxa"/>
            <w:vMerge w:val="continue"/>
            <w:noWrap w:val="0"/>
            <w:vAlign w:val="center"/>
          </w:tcPr>
          <w:p>
            <w:pPr>
              <w:ind w:firstLine="422"/>
              <w:rPr>
                <w:b/>
                <w:bCs/>
                <w:color w:val="000000"/>
                <w:sz w:val="24"/>
                <w:szCs w:val="24"/>
              </w:rPr>
            </w:pPr>
          </w:p>
        </w:tc>
        <w:tc>
          <w:tcPr>
            <w:tcW w:w="600" w:type="dxa"/>
            <w:noWrap w:val="0"/>
            <w:vAlign w:val="center"/>
          </w:tcPr>
          <w:p>
            <w:pPr>
              <w:jc w:val="center"/>
              <w:rPr>
                <w:b/>
                <w:bCs/>
                <w:color w:val="000000"/>
                <w:sz w:val="24"/>
                <w:szCs w:val="24"/>
              </w:rPr>
            </w:pPr>
            <w:r>
              <w:rPr>
                <w:rFonts w:hint="eastAsia"/>
                <w:b/>
                <w:bCs/>
                <w:color w:val="000000"/>
                <w:sz w:val="24"/>
                <w:szCs w:val="24"/>
              </w:rPr>
              <w:t>一级</w:t>
            </w:r>
          </w:p>
        </w:tc>
        <w:tc>
          <w:tcPr>
            <w:tcW w:w="636" w:type="dxa"/>
            <w:noWrap w:val="0"/>
            <w:vAlign w:val="center"/>
          </w:tcPr>
          <w:p>
            <w:pPr>
              <w:jc w:val="center"/>
              <w:rPr>
                <w:b/>
                <w:bCs/>
                <w:color w:val="000000"/>
                <w:sz w:val="24"/>
                <w:szCs w:val="24"/>
              </w:rPr>
            </w:pPr>
            <w:r>
              <w:rPr>
                <w:rFonts w:hint="eastAsia"/>
                <w:b/>
                <w:bCs/>
                <w:color w:val="000000"/>
                <w:sz w:val="24"/>
                <w:szCs w:val="24"/>
              </w:rPr>
              <w:t>二级</w:t>
            </w:r>
          </w:p>
        </w:tc>
        <w:tc>
          <w:tcPr>
            <w:tcW w:w="545" w:type="dxa"/>
            <w:noWrap w:val="0"/>
            <w:vAlign w:val="center"/>
          </w:tcPr>
          <w:p>
            <w:pPr>
              <w:jc w:val="center"/>
              <w:rPr>
                <w:b/>
                <w:bCs/>
                <w:color w:val="000000"/>
                <w:sz w:val="24"/>
                <w:szCs w:val="24"/>
              </w:rPr>
            </w:pPr>
            <w:r>
              <w:rPr>
                <w:rFonts w:hint="eastAsia"/>
                <w:b/>
                <w:bCs/>
                <w:color w:val="000000"/>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67" w:type="dxa"/>
            <w:noWrap w:val="0"/>
            <w:vAlign w:val="center"/>
          </w:tcPr>
          <w:p>
            <w:pPr>
              <w:rPr>
                <w:b/>
                <w:bCs/>
                <w:color w:val="000000"/>
                <w:sz w:val="24"/>
                <w:szCs w:val="24"/>
              </w:rPr>
            </w:pPr>
            <w:r>
              <w:rPr>
                <w:rFonts w:hint="eastAsia"/>
                <w:b/>
                <w:bCs/>
                <w:color w:val="000000"/>
                <w:sz w:val="24"/>
                <w:szCs w:val="24"/>
              </w:rPr>
              <w:t>1</w:t>
            </w:r>
          </w:p>
        </w:tc>
        <w:tc>
          <w:tcPr>
            <w:tcW w:w="1230" w:type="dxa"/>
            <w:noWrap w:val="0"/>
            <w:vAlign w:val="center"/>
          </w:tcPr>
          <w:p>
            <w:pPr>
              <w:jc w:val="center"/>
              <w:rPr>
                <w:b/>
                <w:bCs/>
                <w:color w:val="000000"/>
                <w:sz w:val="24"/>
                <w:szCs w:val="24"/>
              </w:rPr>
            </w:pPr>
            <w:r>
              <w:rPr>
                <w:rFonts w:hint="eastAsia"/>
                <w:b/>
                <w:bCs/>
                <w:color w:val="000000"/>
                <w:sz w:val="24"/>
                <w:szCs w:val="24"/>
              </w:rPr>
              <w:t>一级指标</w:t>
            </w:r>
          </w:p>
        </w:tc>
        <w:tc>
          <w:tcPr>
            <w:tcW w:w="4644" w:type="dxa"/>
            <w:noWrap w:val="0"/>
            <w:vAlign w:val="center"/>
          </w:tcPr>
          <w:p>
            <w:pPr>
              <w:rPr>
                <w:b/>
                <w:bCs/>
                <w:color w:val="000000"/>
                <w:sz w:val="24"/>
                <w:szCs w:val="24"/>
              </w:rPr>
            </w:pPr>
            <w:r>
              <w:rPr>
                <w:rFonts w:hint="eastAsia"/>
                <w:b/>
                <w:bCs/>
                <w:color w:val="000000"/>
                <w:sz w:val="24"/>
                <w:szCs w:val="24"/>
              </w:rPr>
              <w:t>规范管理</w:t>
            </w:r>
          </w:p>
        </w:tc>
        <w:tc>
          <w:tcPr>
            <w:tcW w:w="1781" w:type="dxa"/>
            <w:gridSpan w:val="3"/>
            <w:noWrap w:val="0"/>
            <w:vAlign w:val="center"/>
          </w:tcPr>
          <w:p>
            <w:pPr>
              <w:jc w:val="center"/>
              <w:rPr>
                <w:b/>
                <w:bCs/>
                <w:color w:val="000000"/>
                <w:sz w:val="24"/>
                <w:szCs w:val="24"/>
              </w:rPr>
            </w:pPr>
            <w:r>
              <w:rPr>
                <w:rFonts w:hint="eastAsia"/>
                <w:b/>
                <w:bCs/>
                <w:color w:val="000000"/>
                <w:sz w:val="24"/>
                <w:szCs w:val="24"/>
              </w:rPr>
              <w:t>指标权重25%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rPr>
                <w:color w:val="000000"/>
                <w:sz w:val="24"/>
                <w:szCs w:val="24"/>
              </w:rPr>
            </w:pPr>
            <w:r>
              <w:rPr>
                <w:rFonts w:hint="eastAsia"/>
                <w:color w:val="000000"/>
                <w:sz w:val="24"/>
                <w:szCs w:val="24"/>
              </w:rPr>
              <w:t>1.1</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rPr>
                <w:color w:val="000000"/>
                <w:sz w:val="24"/>
                <w:szCs w:val="24"/>
              </w:rPr>
            </w:pPr>
            <w:r>
              <w:rPr>
                <w:rFonts w:hint="eastAsia"/>
                <w:color w:val="000000"/>
                <w:sz w:val="24"/>
                <w:szCs w:val="24"/>
              </w:rPr>
              <w:t>组织管理</w:t>
            </w:r>
          </w:p>
        </w:tc>
        <w:tc>
          <w:tcPr>
            <w:tcW w:w="1781" w:type="dxa"/>
            <w:gridSpan w:val="3"/>
            <w:noWrap w:val="0"/>
            <w:vAlign w:val="center"/>
          </w:tcPr>
          <w:p>
            <w:pPr>
              <w:jc w:val="center"/>
              <w:rPr>
                <w:color w:val="000000"/>
                <w:sz w:val="24"/>
                <w:szCs w:val="24"/>
              </w:rPr>
            </w:pPr>
            <w:r>
              <w:rPr>
                <w:rFonts w:hint="eastAsia"/>
                <w:color w:val="000000"/>
                <w:sz w:val="24"/>
                <w:szCs w:val="24"/>
              </w:rPr>
              <w:t>指标权重4%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1.1.1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法人治理</w:t>
            </w:r>
          </w:p>
        </w:tc>
        <w:tc>
          <w:tcPr>
            <w:tcW w:w="600" w:type="dxa"/>
            <w:noWrap w:val="0"/>
            <w:vAlign w:val="center"/>
          </w:tcPr>
          <w:p>
            <w:pPr>
              <w:jc w:val="center"/>
              <w:rPr>
                <w:color w:val="000000"/>
                <w:sz w:val="24"/>
                <w:szCs w:val="24"/>
              </w:rPr>
            </w:pPr>
            <w:r>
              <w:rPr>
                <w:rFonts w:hint="eastAsia"/>
                <w:color w:val="000000"/>
                <w:sz w:val="24"/>
                <w:szCs w:val="24"/>
              </w:rPr>
              <w:t>29</w:t>
            </w:r>
          </w:p>
        </w:tc>
        <w:tc>
          <w:tcPr>
            <w:tcW w:w="636" w:type="dxa"/>
            <w:noWrap w:val="0"/>
            <w:vAlign w:val="center"/>
          </w:tcPr>
          <w:p>
            <w:pPr>
              <w:jc w:val="center"/>
              <w:rPr>
                <w:color w:val="000000"/>
                <w:sz w:val="24"/>
                <w:szCs w:val="24"/>
              </w:rPr>
            </w:pPr>
            <w:r>
              <w:rPr>
                <w:rFonts w:hint="eastAsia"/>
                <w:color w:val="000000"/>
                <w:sz w:val="24"/>
                <w:szCs w:val="24"/>
              </w:rPr>
              <w:t>34</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理事会或其他形式决策机构组成人员情况</w:t>
            </w:r>
          </w:p>
        </w:tc>
        <w:tc>
          <w:tcPr>
            <w:tcW w:w="600" w:type="dxa"/>
            <w:noWrap w:val="0"/>
            <w:vAlign w:val="center"/>
          </w:tcPr>
          <w:p>
            <w:pPr>
              <w:jc w:val="center"/>
              <w:rPr>
                <w:color w:val="000000"/>
                <w:sz w:val="24"/>
                <w:szCs w:val="24"/>
              </w:rPr>
            </w:pPr>
            <w:r>
              <w:rPr>
                <w:rFonts w:hint="eastAsia"/>
                <w:color w:val="000000"/>
                <w:sz w:val="24"/>
                <w:szCs w:val="24"/>
              </w:rPr>
              <w:t>9</w:t>
            </w:r>
          </w:p>
        </w:tc>
        <w:tc>
          <w:tcPr>
            <w:tcW w:w="636" w:type="dxa"/>
            <w:noWrap w:val="0"/>
            <w:vAlign w:val="center"/>
          </w:tcPr>
          <w:p>
            <w:pPr>
              <w:jc w:val="center"/>
              <w:rPr>
                <w:color w:val="000000"/>
                <w:sz w:val="24"/>
                <w:szCs w:val="24"/>
              </w:rPr>
            </w:pPr>
            <w:r>
              <w:rPr>
                <w:rFonts w:hint="eastAsia"/>
                <w:color w:val="000000"/>
                <w:sz w:val="24"/>
                <w:szCs w:val="24"/>
              </w:rPr>
              <w:t>12</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理事会或其他形式决策机构履行职责，以及博物馆对于理事会相关决议、建议执行采纳情况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监事会或其他形式</w:t>
            </w:r>
            <w:r>
              <w:rPr>
                <w:rFonts w:hint="eastAsia"/>
                <w:color w:val="000000"/>
                <w:sz w:val="24"/>
                <w:szCs w:val="24"/>
                <w:lang w:eastAsia="zh-CN"/>
              </w:rPr>
              <w:t>监督</w:t>
            </w:r>
            <w:r>
              <w:rPr>
                <w:rFonts w:hint="eastAsia"/>
                <w:color w:val="000000"/>
                <w:sz w:val="24"/>
                <w:szCs w:val="24"/>
              </w:rPr>
              <w:t>机构组建、运行情况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noWrap w:val="0"/>
            <w:vAlign w:val="center"/>
          </w:tcPr>
          <w:p>
            <w:pPr>
              <w:jc w:val="left"/>
              <w:rPr>
                <w:color w:val="000000"/>
                <w:sz w:val="24"/>
                <w:szCs w:val="24"/>
              </w:rPr>
            </w:pPr>
            <w:r>
              <w:rPr>
                <w:rFonts w:hint="eastAsia"/>
                <w:color w:val="000000"/>
                <w:sz w:val="24"/>
                <w:szCs w:val="24"/>
              </w:rPr>
              <w:t>1.1.2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制度规划</w:t>
            </w:r>
          </w:p>
        </w:tc>
        <w:tc>
          <w:tcPr>
            <w:tcW w:w="600" w:type="dxa"/>
            <w:noWrap w:val="0"/>
            <w:vAlign w:val="center"/>
          </w:tcPr>
          <w:p>
            <w:pPr>
              <w:jc w:val="center"/>
              <w:rPr>
                <w:color w:val="000000"/>
                <w:sz w:val="24"/>
                <w:szCs w:val="24"/>
              </w:rPr>
            </w:pPr>
            <w:r>
              <w:rPr>
                <w:rFonts w:hint="eastAsia"/>
                <w:color w:val="000000"/>
                <w:sz w:val="24"/>
                <w:szCs w:val="24"/>
              </w:rPr>
              <w:t>42</w:t>
            </w:r>
          </w:p>
        </w:tc>
        <w:tc>
          <w:tcPr>
            <w:tcW w:w="636" w:type="dxa"/>
            <w:noWrap w:val="0"/>
            <w:vAlign w:val="center"/>
          </w:tcPr>
          <w:p>
            <w:pPr>
              <w:jc w:val="center"/>
              <w:rPr>
                <w:color w:val="000000"/>
                <w:sz w:val="24"/>
                <w:szCs w:val="24"/>
              </w:rPr>
            </w:pPr>
            <w:r>
              <w:rPr>
                <w:rFonts w:hint="eastAsia"/>
                <w:color w:val="000000"/>
                <w:sz w:val="24"/>
                <w:szCs w:val="24"/>
              </w:rPr>
              <w:t>33</w:t>
            </w:r>
          </w:p>
        </w:tc>
        <w:tc>
          <w:tcPr>
            <w:tcW w:w="545" w:type="dxa"/>
            <w:noWrap w:val="0"/>
            <w:vAlign w:val="center"/>
          </w:tcPr>
          <w:p>
            <w:pPr>
              <w:jc w:val="center"/>
              <w:rPr>
                <w:color w:val="000000"/>
                <w:sz w:val="24"/>
                <w:szCs w:val="24"/>
              </w:rPr>
            </w:pPr>
            <w:r>
              <w:rPr>
                <w:rFonts w:hint="eastAsia"/>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博物馆章程制定执行情况</w:t>
            </w:r>
          </w:p>
        </w:tc>
        <w:tc>
          <w:tcPr>
            <w:tcW w:w="600" w:type="dxa"/>
            <w:noWrap w:val="0"/>
            <w:vAlign w:val="center"/>
          </w:tcPr>
          <w:p>
            <w:pPr>
              <w:jc w:val="center"/>
              <w:rPr>
                <w:color w:val="000000"/>
                <w:sz w:val="24"/>
                <w:szCs w:val="24"/>
              </w:rPr>
            </w:pPr>
            <w:r>
              <w:rPr>
                <w:rFonts w:hint="eastAsia"/>
                <w:color w:val="000000"/>
                <w:sz w:val="24"/>
                <w:szCs w:val="24"/>
              </w:rPr>
              <w:t>14</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博物馆中长期发展规划编制、执行情况</w:t>
            </w:r>
          </w:p>
        </w:tc>
        <w:tc>
          <w:tcPr>
            <w:tcW w:w="600" w:type="dxa"/>
            <w:noWrap w:val="0"/>
            <w:vAlign w:val="center"/>
          </w:tcPr>
          <w:p>
            <w:pPr>
              <w:jc w:val="center"/>
              <w:rPr>
                <w:color w:val="000000"/>
                <w:sz w:val="24"/>
                <w:szCs w:val="24"/>
              </w:rPr>
            </w:pPr>
            <w:r>
              <w:rPr>
                <w:rFonts w:hint="eastAsia"/>
                <w:color w:val="000000"/>
                <w:sz w:val="24"/>
                <w:szCs w:val="24"/>
              </w:rPr>
              <w:t>16</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博物馆内部管理制度体系建设、完善、更新情况</w:t>
            </w:r>
          </w:p>
        </w:tc>
        <w:tc>
          <w:tcPr>
            <w:tcW w:w="600" w:type="dxa"/>
            <w:noWrap w:val="0"/>
            <w:vAlign w:val="center"/>
          </w:tcPr>
          <w:p>
            <w:pPr>
              <w:jc w:val="center"/>
              <w:rPr>
                <w:color w:val="000000"/>
                <w:sz w:val="24"/>
                <w:szCs w:val="24"/>
              </w:rPr>
            </w:pPr>
            <w:r>
              <w:rPr>
                <w:rFonts w:hint="eastAsia"/>
                <w:color w:val="000000"/>
                <w:sz w:val="24"/>
                <w:szCs w:val="24"/>
              </w:rPr>
              <w:t>12</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noWrap w:val="0"/>
            <w:vAlign w:val="center"/>
          </w:tcPr>
          <w:p>
            <w:pPr>
              <w:jc w:val="left"/>
              <w:rPr>
                <w:color w:val="000000"/>
                <w:sz w:val="24"/>
                <w:szCs w:val="24"/>
              </w:rPr>
            </w:pPr>
            <w:r>
              <w:rPr>
                <w:rFonts w:hint="eastAsia"/>
                <w:color w:val="000000"/>
                <w:sz w:val="24"/>
                <w:szCs w:val="24"/>
              </w:rPr>
              <w:t>1.1.3</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队伍建设</w:t>
            </w:r>
          </w:p>
        </w:tc>
        <w:tc>
          <w:tcPr>
            <w:tcW w:w="600" w:type="dxa"/>
            <w:noWrap w:val="0"/>
            <w:vAlign w:val="center"/>
          </w:tcPr>
          <w:p>
            <w:pPr>
              <w:jc w:val="center"/>
              <w:rPr>
                <w:color w:val="000000"/>
                <w:sz w:val="24"/>
                <w:szCs w:val="24"/>
              </w:rPr>
            </w:pPr>
            <w:r>
              <w:rPr>
                <w:rFonts w:hint="eastAsia"/>
                <w:color w:val="000000"/>
                <w:sz w:val="24"/>
                <w:szCs w:val="24"/>
              </w:rPr>
              <w:t>29</w:t>
            </w:r>
          </w:p>
        </w:tc>
        <w:tc>
          <w:tcPr>
            <w:tcW w:w="636" w:type="dxa"/>
            <w:noWrap w:val="0"/>
            <w:vAlign w:val="center"/>
          </w:tcPr>
          <w:p>
            <w:pPr>
              <w:jc w:val="center"/>
              <w:rPr>
                <w:color w:val="000000"/>
                <w:sz w:val="24"/>
                <w:szCs w:val="24"/>
              </w:rPr>
            </w:pPr>
            <w:r>
              <w:rPr>
                <w:rFonts w:hint="eastAsia"/>
                <w:color w:val="000000"/>
                <w:sz w:val="24"/>
                <w:szCs w:val="24"/>
              </w:rPr>
              <w:t>33</w:t>
            </w:r>
          </w:p>
        </w:tc>
        <w:tc>
          <w:tcPr>
            <w:tcW w:w="545" w:type="dxa"/>
            <w:noWrap w:val="0"/>
            <w:vAlign w:val="center"/>
          </w:tcPr>
          <w:p>
            <w:pPr>
              <w:jc w:val="center"/>
              <w:rPr>
                <w:color w:val="000000"/>
                <w:sz w:val="24"/>
                <w:szCs w:val="24"/>
              </w:rPr>
            </w:pPr>
            <w:r>
              <w:rPr>
                <w:rFonts w:hint="eastAsia"/>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博物馆管理人才、专业技能人才、研究人才、创新型人才的配备及培养情况</w:t>
            </w:r>
          </w:p>
        </w:tc>
        <w:tc>
          <w:tcPr>
            <w:tcW w:w="600" w:type="dxa"/>
            <w:noWrap w:val="0"/>
            <w:vAlign w:val="center"/>
          </w:tcPr>
          <w:p>
            <w:pPr>
              <w:jc w:val="center"/>
              <w:rPr>
                <w:color w:val="000000"/>
                <w:sz w:val="24"/>
                <w:szCs w:val="24"/>
              </w:rPr>
            </w:pPr>
            <w:r>
              <w:rPr>
                <w:rFonts w:hint="eastAsia"/>
                <w:color w:val="000000"/>
                <w:sz w:val="24"/>
                <w:szCs w:val="24"/>
              </w:rPr>
              <w:t>9</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高水平创新团队及拔尖人才培养情况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博物馆根据不同岗位要求，开展分级分类培训，提升队伍整体素质能力情况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召开理事会次数（基础分：1次/分）</w:t>
            </w:r>
          </w:p>
        </w:tc>
        <w:tc>
          <w:tcPr>
            <w:tcW w:w="600" w:type="dxa"/>
            <w:noWrap w:val="0"/>
            <w:vAlign w:val="center"/>
          </w:tcPr>
          <w:p>
            <w:pPr>
              <w:jc w:val="center"/>
              <w:rPr>
                <w:color w:val="000000"/>
                <w:sz w:val="24"/>
                <w:szCs w:val="24"/>
              </w:rPr>
            </w:pPr>
            <w:r>
              <w:rPr>
                <w:rFonts w:hint="eastAsia"/>
                <w:color w:val="000000"/>
                <w:sz w:val="24"/>
                <w:szCs w:val="24"/>
              </w:rPr>
              <w:t>25</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新增制度数量（基础分：1项/分）</w:t>
            </w:r>
          </w:p>
        </w:tc>
        <w:tc>
          <w:tcPr>
            <w:tcW w:w="600" w:type="dxa"/>
            <w:noWrap w:val="0"/>
            <w:vAlign w:val="center"/>
          </w:tcPr>
          <w:p>
            <w:pPr>
              <w:jc w:val="center"/>
              <w:rPr>
                <w:color w:val="000000"/>
                <w:sz w:val="24"/>
                <w:szCs w:val="24"/>
              </w:rPr>
            </w:pPr>
            <w:r>
              <w:rPr>
                <w:rFonts w:hint="eastAsia"/>
                <w:color w:val="000000"/>
                <w:sz w:val="24"/>
                <w:szCs w:val="24"/>
              </w:rPr>
              <w:t>25</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副高级职称、正高级职称人员总数（基础分：1人/分）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平均从业年限（基础分：1年/分）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出国（境）进修（培训）人员（基础分：1人/分）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国内进修（培训）人员（基础分：1人/分）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1.2</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藏品管理</w:t>
            </w:r>
          </w:p>
        </w:tc>
        <w:tc>
          <w:tcPr>
            <w:tcW w:w="1781" w:type="dxa"/>
            <w:gridSpan w:val="3"/>
            <w:noWrap w:val="0"/>
            <w:vAlign w:val="center"/>
          </w:tcPr>
          <w:p>
            <w:pPr>
              <w:jc w:val="center"/>
              <w:rPr>
                <w:color w:val="000000"/>
                <w:sz w:val="24"/>
                <w:szCs w:val="24"/>
              </w:rPr>
            </w:pPr>
            <w:r>
              <w:rPr>
                <w:rFonts w:hint="eastAsia"/>
                <w:color w:val="000000"/>
                <w:sz w:val="24"/>
                <w:szCs w:val="24"/>
              </w:rPr>
              <w:t>指标权重10%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1.2.1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藏品征集</w:t>
            </w:r>
          </w:p>
        </w:tc>
        <w:tc>
          <w:tcPr>
            <w:tcW w:w="600" w:type="dxa"/>
            <w:noWrap w:val="0"/>
            <w:vAlign w:val="center"/>
          </w:tcPr>
          <w:p>
            <w:pPr>
              <w:jc w:val="center"/>
              <w:rPr>
                <w:color w:val="000000"/>
                <w:sz w:val="24"/>
                <w:szCs w:val="24"/>
              </w:rPr>
            </w:pPr>
            <w:r>
              <w:rPr>
                <w:rFonts w:hint="eastAsia"/>
                <w:color w:val="000000"/>
                <w:sz w:val="24"/>
                <w:szCs w:val="24"/>
              </w:rPr>
              <w:t>22</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博物馆藏品征集规划和年度计划制订、执行情况</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博物馆新征集藏品对于完善收藏体系，满足展示、研究等方面的价值意义</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博物馆征藏党史、新中国史、改革开放史、社会主义发展史、中华民族发展史、经济社会发展变迁物证以及流失海外中国文物的情况</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6</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1.2.2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藏品登录</w:t>
            </w:r>
          </w:p>
        </w:tc>
        <w:tc>
          <w:tcPr>
            <w:tcW w:w="600" w:type="dxa"/>
            <w:noWrap w:val="0"/>
            <w:vAlign w:val="center"/>
          </w:tcPr>
          <w:p>
            <w:pPr>
              <w:jc w:val="center"/>
              <w:rPr>
                <w:color w:val="000000"/>
                <w:sz w:val="24"/>
                <w:szCs w:val="24"/>
              </w:rPr>
            </w:pPr>
            <w:r>
              <w:rPr>
                <w:rFonts w:hint="eastAsia"/>
                <w:color w:val="000000"/>
                <w:sz w:val="24"/>
                <w:szCs w:val="24"/>
              </w:rPr>
              <w:t>22</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博物馆新搜集藏品依法建立藏品账目及档案的情况</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单独设置文物档案，并区分文物等级的情况</w:t>
            </w:r>
          </w:p>
          <w:p>
            <w:pPr>
              <w:jc w:val="left"/>
              <w:rPr>
                <w:color w:val="000000"/>
                <w:sz w:val="24"/>
                <w:szCs w:val="24"/>
              </w:rPr>
            </w:pPr>
            <w:r>
              <w:rPr>
                <w:rFonts w:hint="eastAsia"/>
                <w:color w:val="000000"/>
                <w:sz w:val="24"/>
                <w:szCs w:val="24"/>
              </w:rPr>
              <w:t>（注：无文物类藏品的博物馆可参照评分）</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建立藏品数据库或藏品信息管理系统，健全藏品登录机制，采集登录藏品信息的情况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6</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文物信息在主管文物部门备案的情况</w:t>
            </w:r>
          </w:p>
          <w:p>
            <w:pPr>
              <w:jc w:val="left"/>
              <w:rPr>
                <w:color w:val="000000"/>
                <w:sz w:val="24"/>
                <w:szCs w:val="24"/>
              </w:rPr>
            </w:pPr>
            <w:r>
              <w:rPr>
                <w:rFonts w:hint="eastAsia"/>
                <w:color w:val="000000"/>
                <w:sz w:val="24"/>
                <w:szCs w:val="24"/>
              </w:rPr>
              <w:t>（注：无文物类藏品的博物馆可参照评分）</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1.2.3</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藏品保管</w:t>
            </w:r>
          </w:p>
        </w:tc>
        <w:tc>
          <w:tcPr>
            <w:tcW w:w="600" w:type="dxa"/>
            <w:noWrap w:val="0"/>
            <w:vAlign w:val="center"/>
          </w:tcPr>
          <w:p>
            <w:pPr>
              <w:jc w:val="center"/>
              <w:rPr>
                <w:color w:val="000000"/>
                <w:sz w:val="24"/>
                <w:szCs w:val="24"/>
              </w:rPr>
            </w:pPr>
            <w:r>
              <w:rPr>
                <w:rFonts w:hint="eastAsia"/>
                <w:color w:val="000000"/>
                <w:sz w:val="24"/>
                <w:szCs w:val="24"/>
              </w:rPr>
              <w:t>22</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藏品库房管理及藏品保护装具配备情况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温度、湿度、光照等藏品保存、展示环境指标控制情况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藏品入库、上架、提用、运输等操作执行及工作记录情况</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1.2.4</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藏品保护</w:t>
            </w:r>
          </w:p>
        </w:tc>
        <w:tc>
          <w:tcPr>
            <w:tcW w:w="600" w:type="dxa"/>
            <w:noWrap w:val="0"/>
            <w:vAlign w:val="center"/>
          </w:tcPr>
          <w:p>
            <w:pPr>
              <w:jc w:val="center"/>
              <w:rPr>
                <w:color w:val="000000"/>
                <w:sz w:val="24"/>
                <w:szCs w:val="24"/>
              </w:rPr>
            </w:pPr>
            <w:r>
              <w:rPr>
                <w:rFonts w:hint="eastAsia"/>
                <w:color w:val="000000"/>
                <w:sz w:val="24"/>
                <w:szCs w:val="24"/>
              </w:rPr>
              <w:t>34</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开展藏品预防性保护，针对文物常见多发病害病理开展研究和防治情况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针对珍贵濒危文物、材质脆弱文物、文物保护建筑的保护修复情况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藏品养护工作情况</w:t>
            </w:r>
          </w:p>
        </w:tc>
        <w:tc>
          <w:tcPr>
            <w:tcW w:w="600" w:type="dxa"/>
            <w:noWrap w:val="0"/>
            <w:vAlign w:val="center"/>
          </w:tcPr>
          <w:p>
            <w:pPr>
              <w:jc w:val="center"/>
              <w:rPr>
                <w:color w:val="000000"/>
                <w:sz w:val="24"/>
                <w:szCs w:val="24"/>
              </w:rPr>
            </w:pPr>
            <w:r>
              <w:rPr>
                <w:rFonts w:hint="eastAsia"/>
                <w:color w:val="000000"/>
                <w:sz w:val="24"/>
                <w:szCs w:val="24"/>
              </w:rPr>
              <w:t>14</w:t>
            </w:r>
          </w:p>
        </w:tc>
        <w:tc>
          <w:tcPr>
            <w:tcW w:w="636" w:type="dxa"/>
            <w:noWrap w:val="0"/>
            <w:vAlign w:val="center"/>
          </w:tcPr>
          <w:p>
            <w:pPr>
              <w:jc w:val="center"/>
              <w:rPr>
                <w:color w:val="000000"/>
                <w:sz w:val="24"/>
                <w:szCs w:val="24"/>
              </w:rPr>
            </w:pPr>
            <w:r>
              <w:rPr>
                <w:rFonts w:hint="eastAsia"/>
                <w:color w:val="000000"/>
                <w:sz w:val="24"/>
                <w:szCs w:val="24"/>
              </w:rPr>
              <w:t>11</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年度新增藏品数（基础分：1件（套）/分）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新增备案登录藏品数量（基础分：100件（套）/分）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修复文物数（基础分：1件（套）/分）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修复本馆文物数（基础分：1件（套）/分）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采集藏品三维影像数据量（基础分：100件（套）/分）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库房面积（基础分：100平方米/分）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1.3</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开放管理</w:t>
            </w:r>
          </w:p>
        </w:tc>
        <w:tc>
          <w:tcPr>
            <w:tcW w:w="1781" w:type="dxa"/>
            <w:gridSpan w:val="3"/>
            <w:noWrap w:val="0"/>
            <w:vAlign w:val="center"/>
          </w:tcPr>
          <w:p>
            <w:pPr>
              <w:jc w:val="center"/>
              <w:rPr>
                <w:color w:val="000000"/>
                <w:sz w:val="24"/>
                <w:szCs w:val="24"/>
              </w:rPr>
            </w:pPr>
            <w:r>
              <w:rPr>
                <w:rFonts w:hint="eastAsia"/>
                <w:color w:val="000000"/>
                <w:sz w:val="24"/>
                <w:szCs w:val="24"/>
              </w:rPr>
              <w:t>指标权重5%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1.3.1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信息公开</w:t>
            </w:r>
          </w:p>
        </w:tc>
        <w:tc>
          <w:tcPr>
            <w:tcW w:w="600" w:type="dxa"/>
            <w:noWrap w:val="0"/>
            <w:vAlign w:val="center"/>
          </w:tcPr>
          <w:p>
            <w:pPr>
              <w:jc w:val="center"/>
              <w:rPr>
                <w:color w:val="000000"/>
                <w:sz w:val="24"/>
                <w:szCs w:val="24"/>
              </w:rPr>
            </w:pPr>
            <w:r>
              <w:rPr>
                <w:rFonts w:hint="eastAsia"/>
                <w:color w:val="000000"/>
                <w:sz w:val="24"/>
                <w:szCs w:val="24"/>
              </w:rPr>
              <w:t>50</w:t>
            </w:r>
          </w:p>
        </w:tc>
        <w:tc>
          <w:tcPr>
            <w:tcW w:w="636" w:type="dxa"/>
            <w:noWrap w:val="0"/>
            <w:vAlign w:val="center"/>
          </w:tcPr>
          <w:p>
            <w:pPr>
              <w:jc w:val="center"/>
              <w:rPr>
                <w:color w:val="000000"/>
                <w:sz w:val="24"/>
                <w:szCs w:val="24"/>
              </w:rPr>
            </w:pPr>
            <w:r>
              <w:rPr>
                <w:rFonts w:hint="eastAsia"/>
                <w:color w:val="000000"/>
                <w:sz w:val="24"/>
                <w:szCs w:val="24"/>
              </w:rPr>
              <w:t>50</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近三年博物馆年报编制、发布情况</w:t>
            </w:r>
          </w:p>
        </w:tc>
        <w:tc>
          <w:tcPr>
            <w:tcW w:w="600" w:type="dxa"/>
            <w:noWrap w:val="0"/>
            <w:vAlign w:val="center"/>
          </w:tcPr>
          <w:p>
            <w:pPr>
              <w:jc w:val="center"/>
              <w:rPr>
                <w:color w:val="000000"/>
                <w:sz w:val="24"/>
                <w:szCs w:val="24"/>
              </w:rPr>
            </w:pPr>
            <w:r>
              <w:rPr>
                <w:rFonts w:hint="eastAsia"/>
                <w:color w:val="000000"/>
                <w:sz w:val="24"/>
                <w:szCs w:val="24"/>
              </w:rPr>
              <w:t>16</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博物馆向文物主管部门报送年报信息情况</w:t>
            </w:r>
          </w:p>
        </w:tc>
        <w:tc>
          <w:tcPr>
            <w:tcW w:w="600" w:type="dxa"/>
            <w:noWrap w:val="0"/>
            <w:vAlign w:val="center"/>
          </w:tcPr>
          <w:p>
            <w:pPr>
              <w:jc w:val="center"/>
              <w:rPr>
                <w:color w:val="000000"/>
                <w:sz w:val="24"/>
                <w:szCs w:val="24"/>
              </w:rPr>
            </w:pPr>
            <w:r>
              <w:rPr>
                <w:rFonts w:hint="eastAsia"/>
                <w:color w:val="000000"/>
                <w:sz w:val="24"/>
                <w:szCs w:val="24"/>
              </w:rPr>
              <w:t>17</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通过博物馆网站等媒体平台，面向社会公示本馆管理、运行和公共文化服务工作情况</w:t>
            </w:r>
          </w:p>
        </w:tc>
        <w:tc>
          <w:tcPr>
            <w:tcW w:w="600" w:type="dxa"/>
            <w:noWrap w:val="0"/>
            <w:vAlign w:val="center"/>
          </w:tcPr>
          <w:p>
            <w:pPr>
              <w:jc w:val="center"/>
              <w:rPr>
                <w:color w:val="000000"/>
                <w:sz w:val="24"/>
                <w:szCs w:val="24"/>
              </w:rPr>
            </w:pPr>
            <w:r>
              <w:rPr>
                <w:rFonts w:hint="eastAsia"/>
                <w:color w:val="000000"/>
                <w:sz w:val="24"/>
                <w:szCs w:val="24"/>
              </w:rPr>
              <w:t>17</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1.3.2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参观服务</w:t>
            </w:r>
          </w:p>
        </w:tc>
        <w:tc>
          <w:tcPr>
            <w:tcW w:w="600" w:type="dxa"/>
            <w:noWrap w:val="0"/>
            <w:vAlign w:val="center"/>
          </w:tcPr>
          <w:p>
            <w:pPr>
              <w:jc w:val="center"/>
              <w:rPr>
                <w:color w:val="000000"/>
                <w:sz w:val="24"/>
                <w:szCs w:val="24"/>
              </w:rPr>
            </w:pPr>
            <w:r>
              <w:rPr>
                <w:rFonts w:hint="eastAsia"/>
                <w:color w:val="000000"/>
                <w:sz w:val="24"/>
                <w:szCs w:val="24"/>
              </w:rPr>
              <w:t>50</w:t>
            </w:r>
          </w:p>
        </w:tc>
        <w:tc>
          <w:tcPr>
            <w:tcW w:w="636" w:type="dxa"/>
            <w:noWrap w:val="0"/>
            <w:vAlign w:val="center"/>
          </w:tcPr>
          <w:p>
            <w:pPr>
              <w:jc w:val="center"/>
              <w:rPr>
                <w:color w:val="000000"/>
                <w:sz w:val="24"/>
                <w:szCs w:val="24"/>
              </w:rPr>
            </w:pPr>
            <w:r>
              <w:rPr>
                <w:rFonts w:hint="eastAsia"/>
                <w:color w:val="000000"/>
                <w:sz w:val="24"/>
                <w:szCs w:val="24"/>
              </w:rPr>
              <w:t>50</w:t>
            </w:r>
          </w:p>
        </w:tc>
        <w:tc>
          <w:tcPr>
            <w:tcW w:w="545" w:type="dxa"/>
            <w:noWrap w:val="0"/>
            <w:vAlign w:val="center"/>
          </w:tcPr>
          <w:p>
            <w:pPr>
              <w:jc w:val="center"/>
              <w:rPr>
                <w:color w:val="000000"/>
                <w:sz w:val="24"/>
                <w:szCs w:val="24"/>
              </w:rPr>
            </w:pPr>
            <w:r>
              <w:rPr>
                <w:rFonts w:hint="eastAsia"/>
                <w:color w:val="000000"/>
                <w:sz w:val="24"/>
                <w:szCs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博物馆全年向社会开放情况</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12</w:t>
            </w:r>
          </w:p>
        </w:tc>
        <w:tc>
          <w:tcPr>
            <w:tcW w:w="545" w:type="dxa"/>
            <w:noWrap w:val="0"/>
            <w:vAlign w:val="center"/>
          </w:tcPr>
          <w:p>
            <w:pPr>
              <w:jc w:val="center"/>
              <w:rPr>
                <w:color w:val="000000"/>
                <w:sz w:val="24"/>
                <w:szCs w:val="24"/>
              </w:rPr>
            </w:pPr>
            <w:r>
              <w:rPr>
                <w:rFonts w:hint="eastAsia"/>
                <w:color w:val="000000"/>
                <w:sz w:val="24"/>
                <w:szCs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博物馆执行免费开放政策或对特殊人群免费、优惠开放情况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新增或更新的观众休息设施、卫生设施、文创产品销售服务设施、餐饮服务设施以及老年人、残疾人、婴幼儿等特殊人群服务设施配备情况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落实节能减排、绿色发展的要求，推动博物馆基础设施、设备节能化改造和低耗能运行的情况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通过互联网、新媒体为公众提供各类在线服务的情况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采取有效措施解决老年人运用智能技术困难问题的情况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落实常态化疫情防控工作要求为开放服务提供保障的情况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全年开放天数（基础分：10天/分）</w:t>
            </w:r>
          </w:p>
        </w:tc>
        <w:tc>
          <w:tcPr>
            <w:tcW w:w="600" w:type="dxa"/>
            <w:noWrap w:val="0"/>
            <w:vAlign w:val="center"/>
          </w:tcPr>
          <w:p>
            <w:pPr>
              <w:jc w:val="center"/>
              <w:rPr>
                <w:color w:val="000000"/>
                <w:sz w:val="24"/>
                <w:szCs w:val="24"/>
              </w:rPr>
            </w:pPr>
            <w:r>
              <w:rPr>
                <w:rFonts w:hint="eastAsia"/>
                <w:color w:val="000000"/>
                <w:sz w:val="24"/>
                <w:szCs w:val="24"/>
              </w:rPr>
              <w:t>50</w:t>
            </w:r>
          </w:p>
        </w:tc>
        <w:tc>
          <w:tcPr>
            <w:tcW w:w="636" w:type="dxa"/>
            <w:noWrap w:val="0"/>
            <w:vAlign w:val="center"/>
          </w:tcPr>
          <w:p>
            <w:pPr>
              <w:jc w:val="center"/>
              <w:rPr>
                <w:color w:val="000000"/>
                <w:sz w:val="24"/>
                <w:szCs w:val="24"/>
              </w:rPr>
            </w:pPr>
            <w:r>
              <w:rPr>
                <w:rFonts w:hint="eastAsia"/>
                <w:color w:val="000000"/>
                <w:sz w:val="24"/>
                <w:szCs w:val="24"/>
              </w:rPr>
              <w:t>50</w:t>
            </w:r>
          </w:p>
        </w:tc>
        <w:tc>
          <w:tcPr>
            <w:tcW w:w="545" w:type="dxa"/>
            <w:noWrap w:val="0"/>
            <w:vAlign w:val="center"/>
          </w:tcPr>
          <w:p>
            <w:pPr>
              <w:jc w:val="center"/>
              <w:rPr>
                <w:color w:val="000000"/>
                <w:sz w:val="24"/>
                <w:szCs w:val="24"/>
              </w:rPr>
            </w:pPr>
            <w:r>
              <w:rPr>
                <w:rFonts w:hint="eastAsia"/>
                <w:color w:val="00000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在线服务总量（基础分：10000人次/分）</w:t>
            </w:r>
          </w:p>
        </w:tc>
        <w:tc>
          <w:tcPr>
            <w:tcW w:w="600" w:type="dxa"/>
            <w:noWrap w:val="0"/>
            <w:vAlign w:val="center"/>
          </w:tcPr>
          <w:p>
            <w:pPr>
              <w:jc w:val="center"/>
              <w:rPr>
                <w:color w:val="000000"/>
                <w:sz w:val="24"/>
                <w:szCs w:val="24"/>
              </w:rPr>
            </w:pPr>
            <w:r>
              <w:rPr>
                <w:rFonts w:hint="eastAsia"/>
                <w:color w:val="000000"/>
                <w:sz w:val="24"/>
                <w:szCs w:val="24"/>
              </w:rPr>
              <w:t>50</w:t>
            </w:r>
          </w:p>
        </w:tc>
        <w:tc>
          <w:tcPr>
            <w:tcW w:w="636" w:type="dxa"/>
            <w:noWrap w:val="0"/>
            <w:vAlign w:val="center"/>
          </w:tcPr>
          <w:p>
            <w:pPr>
              <w:jc w:val="center"/>
              <w:rPr>
                <w:color w:val="000000"/>
                <w:sz w:val="24"/>
                <w:szCs w:val="24"/>
              </w:rPr>
            </w:pPr>
            <w:r>
              <w:rPr>
                <w:rFonts w:hint="eastAsia"/>
                <w:color w:val="000000"/>
                <w:sz w:val="24"/>
                <w:szCs w:val="24"/>
              </w:rPr>
              <w:t>50</w:t>
            </w:r>
          </w:p>
        </w:tc>
        <w:tc>
          <w:tcPr>
            <w:tcW w:w="545" w:type="dxa"/>
            <w:noWrap w:val="0"/>
            <w:vAlign w:val="center"/>
          </w:tcPr>
          <w:p>
            <w:pPr>
              <w:jc w:val="center"/>
              <w:rPr>
                <w:color w:val="000000"/>
                <w:sz w:val="24"/>
                <w:szCs w:val="24"/>
              </w:rPr>
            </w:pPr>
            <w:r>
              <w:rPr>
                <w:rFonts w:hint="eastAsia"/>
                <w:color w:val="00000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1.4</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安全管理</w:t>
            </w:r>
          </w:p>
        </w:tc>
        <w:tc>
          <w:tcPr>
            <w:tcW w:w="1781" w:type="dxa"/>
            <w:gridSpan w:val="3"/>
            <w:noWrap w:val="0"/>
            <w:vAlign w:val="center"/>
          </w:tcPr>
          <w:p>
            <w:pPr>
              <w:jc w:val="center"/>
              <w:rPr>
                <w:color w:val="000000"/>
                <w:sz w:val="24"/>
                <w:szCs w:val="24"/>
              </w:rPr>
            </w:pPr>
            <w:r>
              <w:rPr>
                <w:rFonts w:hint="eastAsia"/>
                <w:color w:val="000000"/>
                <w:sz w:val="24"/>
                <w:szCs w:val="24"/>
              </w:rPr>
              <w:t>指标权重6%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1.4.1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意识形态安全</w:t>
            </w:r>
          </w:p>
        </w:tc>
        <w:tc>
          <w:tcPr>
            <w:tcW w:w="600" w:type="dxa"/>
            <w:noWrap w:val="0"/>
            <w:vAlign w:val="center"/>
          </w:tcPr>
          <w:p>
            <w:pPr>
              <w:jc w:val="center"/>
              <w:rPr>
                <w:color w:val="000000"/>
                <w:sz w:val="24"/>
                <w:szCs w:val="24"/>
              </w:rPr>
            </w:pPr>
            <w:r>
              <w:rPr>
                <w:rFonts w:hint="eastAsia"/>
                <w:color w:val="000000"/>
                <w:sz w:val="24"/>
                <w:szCs w:val="24"/>
              </w:rPr>
              <w:t>18</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坚持正确方向，党建与业务相融合情况</w:t>
            </w:r>
          </w:p>
        </w:tc>
        <w:tc>
          <w:tcPr>
            <w:tcW w:w="600" w:type="dxa"/>
            <w:noWrap w:val="0"/>
            <w:vAlign w:val="center"/>
          </w:tcPr>
          <w:p>
            <w:pPr>
              <w:jc w:val="center"/>
              <w:rPr>
                <w:color w:val="000000"/>
                <w:sz w:val="24"/>
                <w:szCs w:val="24"/>
              </w:rPr>
            </w:pPr>
            <w:r>
              <w:rPr>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rPr>
                <w:color w:val="000000"/>
                <w:sz w:val="24"/>
                <w:szCs w:val="24"/>
              </w:rPr>
            </w:pPr>
            <w:r>
              <w:rPr>
                <w:rFonts w:hint="eastAsia"/>
                <w:color w:val="000000"/>
                <w:sz w:val="24"/>
                <w:szCs w:val="24"/>
              </w:rPr>
              <w:t>博物馆落实意识形态工作责任制，健全并落实各级主体责任，将意识形态工作纳入工作规划、计划和重要议事日程，纳入领导班子和成员目标管理的情况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ascii="Calibri" w:hAnsi="Calibri" w:cs="Times New Roman"/>
                <w:color w:val="000000"/>
                <w:sz w:val="24"/>
                <w:szCs w:val="24"/>
              </w:rPr>
              <w:t>博物馆加强意识形态阵地建设，在展陈、教育、传播、文创、信息发布等各项工作中严把政治导向，按要求履行活动报告、审批程序，加强内容审核管理的情况</w:t>
            </w:r>
            <w:r>
              <w:rPr>
                <w:rFonts w:hint="eastAsia" w:ascii="宋体" w:hAnsi="宋体" w:eastAsia="宋体" w:cs="宋体"/>
                <w:color w:val="000000"/>
                <w:sz w:val="24"/>
                <w:szCs w:val="24"/>
                <w:shd w:val="clear" w:color="auto" w:fill="FFFFFF"/>
              </w:rPr>
              <w:t xml:space="preserve"> </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ascii="Calibri" w:hAnsi="Calibri" w:cs="Times New Roman"/>
                <w:color w:val="000000"/>
                <w:sz w:val="24"/>
                <w:szCs w:val="24"/>
              </w:rPr>
              <w:t>博物馆强化意识形态风险防控，开展工作人员教育培训，健全舆情监测、研判、回应机制，制订、执行意识形态安全应急预案，及时开展舆情处置和舆论引导工作，防范化解意识形态领域安全风险的情况</w:t>
            </w:r>
          </w:p>
        </w:tc>
        <w:tc>
          <w:tcPr>
            <w:tcW w:w="600" w:type="dxa"/>
            <w:noWrap w:val="0"/>
            <w:vAlign w:val="center"/>
          </w:tcPr>
          <w:p>
            <w:pPr>
              <w:jc w:val="center"/>
              <w:rPr>
                <w:color w:val="000000"/>
                <w:sz w:val="24"/>
                <w:szCs w:val="24"/>
              </w:rPr>
            </w:pPr>
            <w:r>
              <w:rPr>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1.4.2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藏品安全</w:t>
            </w:r>
          </w:p>
        </w:tc>
        <w:tc>
          <w:tcPr>
            <w:tcW w:w="600" w:type="dxa"/>
            <w:noWrap w:val="0"/>
            <w:vAlign w:val="center"/>
          </w:tcPr>
          <w:p>
            <w:pPr>
              <w:jc w:val="center"/>
              <w:rPr>
                <w:color w:val="000000"/>
                <w:sz w:val="24"/>
                <w:szCs w:val="24"/>
              </w:rPr>
            </w:pPr>
            <w:r>
              <w:rPr>
                <w:rFonts w:hint="eastAsia"/>
                <w:color w:val="000000"/>
                <w:sz w:val="24"/>
                <w:szCs w:val="24"/>
              </w:rPr>
              <w:t>37</w:t>
            </w:r>
          </w:p>
        </w:tc>
        <w:tc>
          <w:tcPr>
            <w:tcW w:w="636" w:type="dxa"/>
            <w:noWrap w:val="0"/>
            <w:vAlign w:val="center"/>
          </w:tcPr>
          <w:p>
            <w:pPr>
              <w:jc w:val="center"/>
              <w:rPr>
                <w:color w:val="000000"/>
                <w:sz w:val="24"/>
                <w:szCs w:val="24"/>
              </w:rPr>
            </w:pPr>
            <w:r>
              <w:rPr>
                <w:rFonts w:hint="eastAsia"/>
                <w:color w:val="000000"/>
                <w:sz w:val="24"/>
                <w:szCs w:val="24"/>
              </w:rPr>
              <w:t>40</w:t>
            </w:r>
          </w:p>
        </w:tc>
        <w:tc>
          <w:tcPr>
            <w:tcW w:w="545" w:type="dxa"/>
            <w:noWrap w:val="0"/>
            <w:vAlign w:val="center"/>
          </w:tcPr>
          <w:p>
            <w:pPr>
              <w:jc w:val="center"/>
              <w:rPr>
                <w:color w:val="000000"/>
                <w:sz w:val="24"/>
                <w:szCs w:val="24"/>
              </w:rPr>
            </w:pPr>
            <w:r>
              <w:rPr>
                <w:rFonts w:hint="eastAsia"/>
                <w:color w:val="000000"/>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按照GA27-2002、GB/T 16571-2012及相关标准要求，在库房和展厅内，配备保障藏品安全的设备、设施情况</w:t>
            </w:r>
          </w:p>
        </w:tc>
        <w:tc>
          <w:tcPr>
            <w:tcW w:w="600" w:type="dxa"/>
            <w:noWrap w:val="0"/>
            <w:vAlign w:val="center"/>
          </w:tcPr>
          <w:p>
            <w:pPr>
              <w:jc w:val="center"/>
              <w:rPr>
                <w:color w:val="000000"/>
                <w:sz w:val="24"/>
                <w:szCs w:val="24"/>
              </w:rPr>
            </w:pPr>
            <w:r>
              <w:rPr>
                <w:rFonts w:hint="eastAsia"/>
                <w:color w:val="000000"/>
                <w:sz w:val="24"/>
                <w:szCs w:val="24"/>
              </w:rPr>
              <w:t>13</w:t>
            </w:r>
          </w:p>
        </w:tc>
        <w:tc>
          <w:tcPr>
            <w:tcW w:w="636" w:type="dxa"/>
            <w:noWrap w:val="0"/>
            <w:vAlign w:val="center"/>
          </w:tcPr>
          <w:p>
            <w:pPr>
              <w:jc w:val="center"/>
              <w:rPr>
                <w:color w:val="000000"/>
                <w:sz w:val="24"/>
                <w:szCs w:val="24"/>
              </w:rPr>
            </w:pPr>
            <w:r>
              <w:rPr>
                <w:rFonts w:hint="eastAsia"/>
                <w:color w:val="000000"/>
                <w:sz w:val="24"/>
                <w:szCs w:val="24"/>
              </w:rPr>
              <w:t>14</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对藏品安全保障设备、设施的检查、维护情况</w:t>
            </w:r>
          </w:p>
        </w:tc>
        <w:tc>
          <w:tcPr>
            <w:tcW w:w="600" w:type="dxa"/>
            <w:noWrap w:val="0"/>
            <w:vAlign w:val="center"/>
          </w:tcPr>
          <w:p>
            <w:pPr>
              <w:jc w:val="center"/>
              <w:rPr>
                <w:color w:val="000000"/>
                <w:sz w:val="24"/>
                <w:szCs w:val="24"/>
              </w:rPr>
            </w:pPr>
            <w:r>
              <w:rPr>
                <w:rFonts w:hint="eastAsia"/>
                <w:color w:val="000000"/>
                <w:sz w:val="24"/>
                <w:szCs w:val="24"/>
              </w:rPr>
              <w:t>13</w:t>
            </w:r>
          </w:p>
        </w:tc>
        <w:tc>
          <w:tcPr>
            <w:tcW w:w="636" w:type="dxa"/>
            <w:noWrap w:val="0"/>
            <w:vAlign w:val="center"/>
          </w:tcPr>
          <w:p>
            <w:pPr>
              <w:jc w:val="center"/>
              <w:rPr>
                <w:color w:val="000000"/>
                <w:sz w:val="24"/>
                <w:szCs w:val="24"/>
              </w:rPr>
            </w:pPr>
            <w:r>
              <w:rPr>
                <w:rFonts w:hint="eastAsia"/>
                <w:color w:val="000000"/>
                <w:sz w:val="24"/>
                <w:szCs w:val="24"/>
              </w:rPr>
              <w:t>14</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对珍贵文物和易损藏品的特殊保管情况</w:t>
            </w:r>
          </w:p>
        </w:tc>
        <w:tc>
          <w:tcPr>
            <w:tcW w:w="600" w:type="dxa"/>
            <w:noWrap w:val="0"/>
            <w:vAlign w:val="center"/>
          </w:tcPr>
          <w:p>
            <w:pPr>
              <w:jc w:val="center"/>
              <w:rPr>
                <w:color w:val="000000"/>
                <w:sz w:val="24"/>
                <w:szCs w:val="24"/>
              </w:rPr>
            </w:pPr>
            <w:r>
              <w:rPr>
                <w:rFonts w:hint="eastAsia"/>
                <w:color w:val="000000"/>
                <w:sz w:val="24"/>
                <w:szCs w:val="24"/>
              </w:rPr>
              <w:t>11</w:t>
            </w:r>
          </w:p>
        </w:tc>
        <w:tc>
          <w:tcPr>
            <w:tcW w:w="636" w:type="dxa"/>
            <w:noWrap w:val="0"/>
            <w:vAlign w:val="center"/>
          </w:tcPr>
          <w:p>
            <w:pPr>
              <w:jc w:val="center"/>
              <w:rPr>
                <w:color w:val="000000"/>
                <w:sz w:val="24"/>
                <w:szCs w:val="24"/>
              </w:rPr>
            </w:pPr>
            <w:r>
              <w:rPr>
                <w:rFonts w:hint="eastAsia"/>
                <w:color w:val="000000"/>
                <w:sz w:val="24"/>
                <w:szCs w:val="24"/>
              </w:rPr>
              <w:t>12</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1.4.3</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公共安全</w:t>
            </w:r>
          </w:p>
        </w:tc>
        <w:tc>
          <w:tcPr>
            <w:tcW w:w="600" w:type="dxa"/>
            <w:noWrap w:val="0"/>
            <w:vAlign w:val="center"/>
          </w:tcPr>
          <w:p>
            <w:pPr>
              <w:jc w:val="center"/>
              <w:rPr>
                <w:color w:val="000000"/>
                <w:sz w:val="24"/>
                <w:szCs w:val="24"/>
              </w:rPr>
            </w:pPr>
            <w:r>
              <w:rPr>
                <w:rFonts w:hint="eastAsia"/>
                <w:color w:val="000000"/>
                <w:sz w:val="24"/>
                <w:szCs w:val="24"/>
              </w:rPr>
              <w:t>27</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博物馆安保人员配备和日常管理工作情况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4</w:t>
            </w:r>
          </w:p>
        </w:tc>
        <w:tc>
          <w:tcPr>
            <w:tcW w:w="545" w:type="dxa"/>
            <w:noWrap w:val="0"/>
            <w:vAlign w:val="center"/>
          </w:tcPr>
          <w:p>
            <w:pPr>
              <w:jc w:val="center"/>
              <w:rPr>
                <w:color w:val="000000"/>
                <w:sz w:val="24"/>
                <w:szCs w:val="24"/>
              </w:rPr>
            </w:pPr>
            <w:r>
              <w:rPr>
                <w:rFonts w:hint="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按照GA27-2002、GB/T 16571-2012及相关标准有关要求，在开放区域内，配备保障公共安全的消防、安防设施设备情况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4</w:t>
            </w:r>
          </w:p>
        </w:tc>
        <w:tc>
          <w:tcPr>
            <w:tcW w:w="545" w:type="dxa"/>
            <w:noWrap w:val="0"/>
            <w:vAlign w:val="center"/>
          </w:tcPr>
          <w:p>
            <w:pPr>
              <w:jc w:val="center"/>
              <w:rPr>
                <w:color w:val="000000"/>
                <w:sz w:val="24"/>
                <w:szCs w:val="24"/>
              </w:rPr>
            </w:pPr>
            <w:r>
              <w:rPr>
                <w:rFonts w:hint="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消防安全设备设施的使用情况</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3</w:t>
            </w:r>
          </w:p>
        </w:tc>
        <w:tc>
          <w:tcPr>
            <w:tcW w:w="545" w:type="dxa"/>
            <w:noWrap w:val="0"/>
            <w:vAlign w:val="center"/>
          </w:tcPr>
          <w:p>
            <w:pPr>
              <w:jc w:val="center"/>
              <w:rPr>
                <w:color w:val="000000"/>
                <w:sz w:val="24"/>
                <w:szCs w:val="24"/>
              </w:rPr>
            </w:pPr>
            <w:r>
              <w:rPr>
                <w:rFonts w:hint="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博物馆针对突发事件的预防措施、应急预案、善后处置措施准备情况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4</w:t>
            </w:r>
          </w:p>
        </w:tc>
        <w:tc>
          <w:tcPr>
            <w:tcW w:w="545" w:type="dxa"/>
            <w:noWrap w:val="0"/>
            <w:vAlign w:val="center"/>
          </w:tcPr>
          <w:p>
            <w:pPr>
              <w:jc w:val="center"/>
              <w:rPr>
                <w:color w:val="000000"/>
                <w:sz w:val="24"/>
                <w:szCs w:val="24"/>
              </w:rPr>
            </w:pPr>
            <w:r>
              <w:rPr>
                <w:rFonts w:hint="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定期组织开展消防、安防演练情况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3</w:t>
            </w:r>
          </w:p>
        </w:tc>
        <w:tc>
          <w:tcPr>
            <w:tcW w:w="545" w:type="dxa"/>
            <w:noWrap w:val="0"/>
            <w:vAlign w:val="center"/>
          </w:tcPr>
          <w:p>
            <w:pPr>
              <w:jc w:val="center"/>
              <w:rPr>
                <w:color w:val="000000"/>
                <w:sz w:val="24"/>
                <w:szCs w:val="24"/>
              </w:rPr>
            </w:pPr>
            <w:r>
              <w:rPr>
                <w:rFonts w:hint="eastAsia"/>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属地公安、消防部门对博物馆安保工作的检查、验收情况</w:t>
            </w:r>
          </w:p>
        </w:tc>
        <w:tc>
          <w:tcPr>
            <w:tcW w:w="600" w:type="dxa"/>
            <w:noWrap w:val="0"/>
            <w:vAlign w:val="center"/>
          </w:tcPr>
          <w:p>
            <w:pPr>
              <w:jc w:val="center"/>
              <w:rPr>
                <w:color w:val="000000"/>
                <w:sz w:val="24"/>
                <w:szCs w:val="24"/>
              </w:rPr>
            </w:pPr>
            <w:r>
              <w:rPr>
                <w:rFonts w:hint="eastAsia"/>
                <w:color w:val="000000"/>
                <w:sz w:val="24"/>
                <w:szCs w:val="24"/>
              </w:rPr>
              <w:t>3</w:t>
            </w:r>
          </w:p>
        </w:tc>
        <w:tc>
          <w:tcPr>
            <w:tcW w:w="636" w:type="dxa"/>
            <w:noWrap w:val="0"/>
            <w:vAlign w:val="center"/>
          </w:tcPr>
          <w:p>
            <w:pPr>
              <w:jc w:val="center"/>
              <w:rPr>
                <w:color w:val="000000"/>
                <w:sz w:val="24"/>
                <w:szCs w:val="24"/>
              </w:rPr>
            </w:pPr>
            <w:r>
              <w:rPr>
                <w:rFonts w:hint="eastAsia"/>
                <w:color w:val="000000"/>
                <w:sz w:val="24"/>
                <w:szCs w:val="24"/>
              </w:rPr>
              <w:t>2</w:t>
            </w:r>
          </w:p>
        </w:tc>
        <w:tc>
          <w:tcPr>
            <w:tcW w:w="545" w:type="dxa"/>
            <w:noWrap w:val="0"/>
            <w:vAlign w:val="center"/>
          </w:tcPr>
          <w:p>
            <w:pPr>
              <w:jc w:val="center"/>
              <w:rPr>
                <w:color w:val="000000"/>
                <w:sz w:val="24"/>
                <w:szCs w:val="24"/>
              </w:rPr>
            </w:pPr>
            <w:r>
              <w:rPr>
                <w:rFonts w:hint="eastAsia"/>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1.4.4</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信息安全</w:t>
            </w:r>
          </w:p>
        </w:tc>
        <w:tc>
          <w:tcPr>
            <w:tcW w:w="600" w:type="dxa"/>
            <w:noWrap w:val="0"/>
            <w:vAlign w:val="center"/>
          </w:tcPr>
          <w:p>
            <w:pPr>
              <w:jc w:val="center"/>
              <w:rPr>
                <w:color w:val="000000"/>
                <w:sz w:val="24"/>
                <w:szCs w:val="24"/>
              </w:rPr>
            </w:pPr>
            <w:r>
              <w:rPr>
                <w:rFonts w:hint="eastAsia"/>
                <w:color w:val="000000"/>
                <w:sz w:val="24"/>
                <w:szCs w:val="24"/>
              </w:rPr>
              <w:t>18</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博物馆信息系统架构与用户权限管理体系建设情况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博物馆信息安全保护、数据资源管理制度制订和执行情况</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博物馆信息安全管理人员配备和日常工作情况</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参照GB/T 22239-2019及相关标准有关要求，落实信息系统安全等级保护有关情况</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安保人员数（基础分：1人/分）</w:t>
            </w:r>
          </w:p>
        </w:tc>
        <w:tc>
          <w:tcPr>
            <w:tcW w:w="600" w:type="dxa"/>
            <w:noWrap w:val="0"/>
            <w:vAlign w:val="center"/>
          </w:tcPr>
          <w:p>
            <w:pPr>
              <w:jc w:val="center"/>
              <w:rPr>
                <w:color w:val="000000"/>
                <w:sz w:val="24"/>
                <w:szCs w:val="24"/>
              </w:rPr>
            </w:pPr>
            <w:r>
              <w:rPr>
                <w:rFonts w:hint="eastAsia"/>
                <w:color w:val="000000"/>
                <w:sz w:val="24"/>
                <w:szCs w:val="24"/>
              </w:rPr>
              <w:t>60</w:t>
            </w:r>
          </w:p>
        </w:tc>
        <w:tc>
          <w:tcPr>
            <w:tcW w:w="636" w:type="dxa"/>
            <w:noWrap w:val="0"/>
            <w:vAlign w:val="center"/>
          </w:tcPr>
          <w:p>
            <w:pPr>
              <w:jc w:val="center"/>
              <w:rPr>
                <w:color w:val="000000"/>
                <w:sz w:val="24"/>
                <w:szCs w:val="24"/>
              </w:rPr>
            </w:pPr>
            <w:r>
              <w:rPr>
                <w:rFonts w:hint="eastAsia"/>
                <w:color w:val="000000"/>
                <w:sz w:val="24"/>
                <w:szCs w:val="24"/>
              </w:rPr>
              <w:t>60</w:t>
            </w:r>
          </w:p>
        </w:tc>
        <w:tc>
          <w:tcPr>
            <w:tcW w:w="545" w:type="dxa"/>
            <w:noWrap w:val="0"/>
            <w:vAlign w:val="center"/>
          </w:tcPr>
          <w:p>
            <w:pPr>
              <w:jc w:val="center"/>
              <w:rPr>
                <w:color w:val="000000"/>
                <w:sz w:val="24"/>
                <w:szCs w:val="24"/>
              </w:rPr>
            </w:pPr>
            <w:r>
              <w:rPr>
                <w:rFonts w:hint="eastAsia"/>
                <w:color w:val="000000"/>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安全演练次数（基础分：1次/分）</w:t>
            </w:r>
          </w:p>
        </w:tc>
        <w:tc>
          <w:tcPr>
            <w:tcW w:w="600" w:type="dxa"/>
            <w:noWrap w:val="0"/>
            <w:vAlign w:val="center"/>
          </w:tcPr>
          <w:p>
            <w:pPr>
              <w:jc w:val="center"/>
              <w:rPr>
                <w:color w:val="000000"/>
                <w:sz w:val="24"/>
                <w:szCs w:val="24"/>
              </w:rPr>
            </w:pPr>
            <w:r>
              <w:rPr>
                <w:rFonts w:hint="eastAsia"/>
                <w:color w:val="000000"/>
                <w:sz w:val="24"/>
                <w:szCs w:val="24"/>
              </w:rPr>
              <w:t>40</w:t>
            </w:r>
          </w:p>
        </w:tc>
        <w:tc>
          <w:tcPr>
            <w:tcW w:w="636" w:type="dxa"/>
            <w:noWrap w:val="0"/>
            <w:vAlign w:val="center"/>
          </w:tcPr>
          <w:p>
            <w:pPr>
              <w:jc w:val="center"/>
              <w:rPr>
                <w:color w:val="000000"/>
                <w:sz w:val="24"/>
                <w:szCs w:val="24"/>
              </w:rPr>
            </w:pPr>
            <w:r>
              <w:rPr>
                <w:rFonts w:hint="eastAsia"/>
                <w:color w:val="000000"/>
                <w:sz w:val="24"/>
                <w:szCs w:val="24"/>
              </w:rPr>
              <w:t>40</w:t>
            </w:r>
          </w:p>
        </w:tc>
        <w:tc>
          <w:tcPr>
            <w:tcW w:w="545" w:type="dxa"/>
            <w:noWrap w:val="0"/>
            <w:vAlign w:val="center"/>
          </w:tcPr>
          <w:p>
            <w:pPr>
              <w:jc w:val="center"/>
              <w:rPr>
                <w:color w:val="000000"/>
                <w:sz w:val="24"/>
                <w:szCs w:val="24"/>
              </w:rPr>
            </w:pPr>
            <w:r>
              <w:rPr>
                <w:rFonts w:hint="eastAsia"/>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867" w:type="dxa"/>
            <w:noWrap w:val="0"/>
            <w:vAlign w:val="center"/>
          </w:tcPr>
          <w:p>
            <w:pPr>
              <w:jc w:val="left"/>
              <w:rPr>
                <w:b/>
                <w:bCs/>
                <w:color w:val="000000"/>
                <w:sz w:val="24"/>
                <w:szCs w:val="24"/>
              </w:rPr>
            </w:pPr>
            <w:r>
              <w:rPr>
                <w:rFonts w:hint="eastAsia"/>
                <w:b/>
                <w:bCs/>
                <w:color w:val="000000"/>
                <w:sz w:val="24"/>
                <w:szCs w:val="24"/>
              </w:rPr>
              <w:t>2</w:t>
            </w:r>
          </w:p>
        </w:tc>
        <w:tc>
          <w:tcPr>
            <w:tcW w:w="1230" w:type="dxa"/>
            <w:noWrap w:val="0"/>
            <w:vAlign w:val="center"/>
          </w:tcPr>
          <w:p>
            <w:pPr>
              <w:jc w:val="center"/>
              <w:rPr>
                <w:b/>
                <w:bCs/>
                <w:color w:val="000000"/>
                <w:sz w:val="24"/>
                <w:szCs w:val="24"/>
              </w:rPr>
            </w:pPr>
            <w:r>
              <w:rPr>
                <w:rFonts w:hint="eastAsia"/>
                <w:b/>
                <w:bCs/>
                <w:color w:val="000000"/>
                <w:sz w:val="24"/>
                <w:szCs w:val="24"/>
              </w:rPr>
              <w:t>一级指标</w:t>
            </w:r>
          </w:p>
        </w:tc>
        <w:tc>
          <w:tcPr>
            <w:tcW w:w="4644" w:type="dxa"/>
            <w:noWrap w:val="0"/>
            <w:vAlign w:val="center"/>
          </w:tcPr>
          <w:p>
            <w:pPr>
              <w:jc w:val="left"/>
              <w:rPr>
                <w:b/>
                <w:bCs/>
                <w:color w:val="000000"/>
                <w:sz w:val="24"/>
                <w:szCs w:val="24"/>
              </w:rPr>
            </w:pPr>
            <w:r>
              <w:rPr>
                <w:rFonts w:hint="eastAsia"/>
                <w:b/>
                <w:bCs/>
                <w:color w:val="000000"/>
                <w:sz w:val="24"/>
                <w:szCs w:val="24"/>
              </w:rPr>
              <w:t>服务产出</w:t>
            </w:r>
          </w:p>
        </w:tc>
        <w:tc>
          <w:tcPr>
            <w:tcW w:w="1781" w:type="dxa"/>
            <w:gridSpan w:val="3"/>
            <w:noWrap w:val="0"/>
            <w:vAlign w:val="center"/>
          </w:tcPr>
          <w:p>
            <w:pPr>
              <w:jc w:val="center"/>
              <w:rPr>
                <w:b/>
                <w:bCs/>
                <w:color w:val="000000"/>
                <w:sz w:val="24"/>
                <w:szCs w:val="24"/>
              </w:rPr>
            </w:pPr>
            <w:r>
              <w:rPr>
                <w:rFonts w:hint="eastAsia"/>
                <w:b/>
                <w:bCs/>
                <w:color w:val="000000"/>
                <w:sz w:val="24"/>
                <w:szCs w:val="24"/>
              </w:rPr>
              <w:t>指标权重55%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2.1</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科学研究</w:t>
            </w:r>
          </w:p>
        </w:tc>
        <w:tc>
          <w:tcPr>
            <w:tcW w:w="1781" w:type="dxa"/>
            <w:gridSpan w:val="3"/>
            <w:noWrap w:val="0"/>
            <w:vAlign w:val="center"/>
          </w:tcPr>
          <w:p>
            <w:pPr>
              <w:jc w:val="center"/>
              <w:rPr>
                <w:color w:val="000000"/>
                <w:sz w:val="24"/>
                <w:szCs w:val="24"/>
              </w:rPr>
            </w:pPr>
            <w:r>
              <w:rPr>
                <w:rFonts w:hint="eastAsia"/>
                <w:color w:val="000000"/>
                <w:sz w:val="24"/>
                <w:szCs w:val="24"/>
              </w:rPr>
              <w:t>指标权重15%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2.1.1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科研产出</w:t>
            </w:r>
          </w:p>
        </w:tc>
        <w:tc>
          <w:tcPr>
            <w:tcW w:w="600" w:type="dxa"/>
            <w:noWrap w:val="0"/>
            <w:vAlign w:val="center"/>
          </w:tcPr>
          <w:p>
            <w:pPr>
              <w:jc w:val="center"/>
              <w:rPr>
                <w:color w:val="000000"/>
                <w:sz w:val="24"/>
                <w:szCs w:val="24"/>
              </w:rPr>
            </w:pPr>
            <w:r>
              <w:rPr>
                <w:rFonts w:hint="eastAsia"/>
                <w:color w:val="000000"/>
                <w:sz w:val="24"/>
                <w:szCs w:val="24"/>
              </w:rPr>
              <w:t>75</w:t>
            </w:r>
          </w:p>
        </w:tc>
        <w:tc>
          <w:tcPr>
            <w:tcW w:w="636" w:type="dxa"/>
            <w:noWrap w:val="0"/>
            <w:vAlign w:val="center"/>
          </w:tcPr>
          <w:p>
            <w:pPr>
              <w:jc w:val="center"/>
              <w:rPr>
                <w:color w:val="000000"/>
                <w:sz w:val="24"/>
                <w:szCs w:val="24"/>
              </w:rPr>
            </w:pPr>
            <w:r>
              <w:rPr>
                <w:rFonts w:hint="eastAsia"/>
                <w:color w:val="000000"/>
                <w:sz w:val="24"/>
                <w:szCs w:val="24"/>
              </w:rPr>
              <w:t>58</w:t>
            </w:r>
          </w:p>
        </w:tc>
        <w:tc>
          <w:tcPr>
            <w:tcW w:w="545" w:type="dxa"/>
            <w:noWrap w:val="0"/>
            <w:vAlign w:val="center"/>
          </w:tcPr>
          <w:p>
            <w:pPr>
              <w:jc w:val="center"/>
              <w:rPr>
                <w:color w:val="000000"/>
                <w:sz w:val="24"/>
                <w:szCs w:val="24"/>
              </w:rPr>
            </w:pPr>
            <w:r>
              <w:rPr>
                <w:rFonts w:hint="eastAsia"/>
                <w:color w:val="000000"/>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博物馆在科学研究、学术研究方面综合实力，以及开展科研活动和取得成果（</w:t>
            </w:r>
            <w:r>
              <w:rPr>
                <w:rFonts w:hint="eastAsia"/>
                <w:color w:val="000000"/>
                <w:sz w:val="24"/>
                <w:szCs w:val="24"/>
                <w:lang w:val="en-US" w:eastAsia="zh-CN"/>
              </w:rPr>
              <w:t>包括但不限于：</w:t>
            </w:r>
            <w:r>
              <w:rPr>
                <w:rFonts w:hint="eastAsia"/>
                <w:color w:val="000000"/>
                <w:sz w:val="24"/>
                <w:szCs w:val="24"/>
              </w:rPr>
              <w:t>发表学术论文、出版学术专著、承担科研项目、考古发掘项目、课题、获得专利、参与制订标准）的总体水平</w:t>
            </w:r>
          </w:p>
        </w:tc>
        <w:tc>
          <w:tcPr>
            <w:tcW w:w="600" w:type="dxa"/>
            <w:noWrap w:val="0"/>
            <w:vAlign w:val="center"/>
          </w:tcPr>
          <w:p>
            <w:pPr>
              <w:jc w:val="center"/>
              <w:rPr>
                <w:color w:val="000000"/>
                <w:sz w:val="24"/>
                <w:szCs w:val="24"/>
              </w:rPr>
            </w:pPr>
            <w:r>
              <w:rPr>
                <w:rFonts w:hint="eastAsia"/>
                <w:color w:val="000000"/>
                <w:sz w:val="24"/>
                <w:szCs w:val="24"/>
              </w:rPr>
              <w:t>37</w:t>
            </w:r>
          </w:p>
        </w:tc>
        <w:tc>
          <w:tcPr>
            <w:tcW w:w="636" w:type="dxa"/>
            <w:noWrap w:val="0"/>
            <w:vAlign w:val="center"/>
          </w:tcPr>
          <w:p>
            <w:pPr>
              <w:jc w:val="center"/>
              <w:rPr>
                <w:color w:val="000000"/>
                <w:sz w:val="24"/>
                <w:szCs w:val="24"/>
              </w:rPr>
            </w:pPr>
            <w:r>
              <w:rPr>
                <w:rFonts w:hint="eastAsia"/>
                <w:color w:val="000000"/>
                <w:sz w:val="24"/>
                <w:szCs w:val="24"/>
              </w:rPr>
              <w:t>30</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代表性研究成果的学术价值、应用价值、创新价值情况</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16</w:t>
            </w:r>
          </w:p>
        </w:tc>
        <w:tc>
          <w:tcPr>
            <w:tcW w:w="545" w:type="dxa"/>
            <w:noWrap w:val="0"/>
            <w:vAlign w:val="center"/>
          </w:tcPr>
          <w:p>
            <w:pPr>
              <w:jc w:val="center"/>
              <w:rPr>
                <w:color w:val="000000"/>
                <w:sz w:val="24"/>
                <w:szCs w:val="24"/>
              </w:rPr>
            </w:pPr>
            <w:r>
              <w:rPr>
                <w:rFonts w:hint="eastAsia"/>
                <w:color w:val="00000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代表性研究成果影响力和获奖情况</w:t>
            </w:r>
          </w:p>
        </w:tc>
        <w:tc>
          <w:tcPr>
            <w:tcW w:w="600" w:type="dxa"/>
            <w:noWrap w:val="0"/>
            <w:vAlign w:val="center"/>
          </w:tcPr>
          <w:p>
            <w:pPr>
              <w:jc w:val="center"/>
              <w:rPr>
                <w:color w:val="000000"/>
                <w:sz w:val="24"/>
                <w:szCs w:val="24"/>
              </w:rPr>
            </w:pPr>
            <w:r>
              <w:rPr>
                <w:rFonts w:hint="eastAsia"/>
                <w:color w:val="000000"/>
                <w:sz w:val="24"/>
                <w:szCs w:val="24"/>
              </w:rPr>
              <w:t>18</w:t>
            </w:r>
          </w:p>
        </w:tc>
        <w:tc>
          <w:tcPr>
            <w:tcW w:w="636" w:type="dxa"/>
            <w:noWrap w:val="0"/>
            <w:vAlign w:val="center"/>
          </w:tcPr>
          <w:p>
            <w:pPr>
              <w:jc w:val="center"/>
              <w:rPr>
                <w:color w:val="000000"/>
                <w:sz w:val="24"/>
                <w:szCs w:val="24"/>
              </w:rPr>
            </w:pPr>
            <w:r>
              <w:rPr>
                <w:rFonts w:hint="eastAsia"/>
                <w:color w:val="000000"/>
                <w:sz w:val="24"/>
                <w:szCs w:val="24"/>
              </w:rPr>
              <w:t>12</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2.1.2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科研服务</w:t>
            </w:r>
          </w:p>
        </w:tc>
        <w:tc>
          <w:tcPr>
            <w:tcW w:w="600" w:type="dxa"/>
            <w:noWrap w:val="0"/>
            <w:vAlign w:val="center"/>
          </w:tcPr>
          <w:p>
            <w:pPr>
              <w:jc w:val="center"/>
              <w:rPr>
                <w:color w:val="000000"/>
                <w:sz w:val="24"/>
                <w:szCs w:val="24"/>
              </w:rPr>
            </w:pPr>
            <w:r>
              <w:rPr>
                <w:rFonts w:hint="eastAsia"/>
                <w:color w:val="000000"/>
                <w:sz w:val="24"/>
                <w:szCs w:val="24"/>
              </w:rPr>
              <w:t>25</w:t>
            </w:r>
          </w:p>
        </w:tc>
        <w:tc>
          <w:tcPr>
            <w:tcW w:w="636" w:type="dxa"/>
            <w:noWrap w:val="0"/>
            <w:vAlign w:val="center"/>
          </w:tcPr>
          <w:p>
            <w:pPr>
              <w:jc w:val="center"/>
              <w:rPr>
                <w:color w:val="000000"/>
                <w:sz w:val="24"/>
                <w:szCs w:val="24"/>
              </w:rPr>
            </w:pPr>
            <w:r>
              <w:rPr>
                <w:rFonts w:hint="eastAsia"/>
                <w:color w:val="000000"/>
                <w:sz w:val="24"/>
                <w:szCs w:val="24"/>
              </w:rPr>
              <w:t>42</w:t>
            </w:r>
          </w:p>
        </w:tc>
        <w:tc>
          <w:tcPr>
            <w:tcW w:w="545" w:type="dxa"/>
            <w:noWrap w:val="0"/>
            <w:vAlign w:val="center"/>
          </w:tcPr>
          <w:p>
            <w:pPr>
              <w:jc w:val="center"/>
              <w:rPr>
                <w:color w:val="000000"/>
                <w:sz w:val="24"/>
                <w:szCs w:val="24"/>
              </w:rPr>
            </w:pPr>
            <w:r>
              <w:rPr>
                <w:rFonts w:hint="eastAsia"/>
                <w:color w:val="000000"/>
                <w:sz w:val="24"/>
                <w:szCs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面向其他博物馆、高等学校、科研院所开放藏品和学术研究资料，为专业研究者提供研究便利的情况</w:t>
            </w:r>
          </w:p>
        </w:tc>
        <w:tc>
          <w:tcPr>
            <w:tcW w:w="600" w:type="dxa"/>
            <w:noWrap w:val="0"/>
            <w:vAlign w:val="center"/>
          </w:tcPr>
          <w:p>
            <w:pPr>
              <w:jc w:val="center"/>
              <w:rPr>
                <w:color w:val="000000"/>
                <w:sz w:val="24"/>
                <w:szCs w:val="24"/>
              </w:rPr>
            </w:pPr>
            <w:r>
              <w:rPr>
                <w:rFonts w:hint="eastAsia"/>
                <w:color w:val="000000"/>
                <w:sz w:val="24"/>
                <w:szCs w:val="24"/>
              </w:rPr>
              <w:t>11</w:t>
            </w:r>
          </w:p>
        </w:tc>
        <w:tc>
          <w:tcPr>
            <w:tcW w:w="636" w:type="dxa"/>
            <w:noWrap w:val="0"/>
            <w:vAlign w:val="center"/>
          </w:tcPr>
          <w:p>
            <w:pPr>
              <w:jc w:val="center"/>
              <w:rPr>
                <w:color w:val="000000"/>
                <w:sz w:val="24"/>
                <w:szCs w:val="24"/>
              </w:rPr>
            </w:pPr>
            <w:r>
              <w:rPr>
                <w:rFonts w:hint="eastAsia"/>
                <w:color w:val="000000"/>
                <w:sz w:val="24"/>
                <w:szCs w:val="24"/>
              </w:rPr>
              <w:t>18</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博物馆发挥本馆藏品、学术资源优势，与高等学校、科研院所等单位合作开展学术研究、承担科研项目、考古发掘项目、举办学术活动的情况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12</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与高等学校、科研院所联合建立、运营实验室、研究室、科研基地、科研工作站的情况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12</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科研项目数（基础分：1项/分）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省部级（含）以上研究项目（基础分：1项/分）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出版物数（基础分：1册/分）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发表论文数（基础分：1篇/分）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获得专利数（基础分：1项/分）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参与编制标准数（基础分：1项/分）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2.2</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陈列展览</w:t>
            </w:r>
          </w:p>
        </w:tc>
        <w:tc>
          <w:tcPr>
            <w:tcW w:w="1781" w:type="dxa"/>
            <w:gridSpan w:val="3"/>
            <w:noWrap w:val="0"/>
            <w:vAlign w:val="center"/>
          </w:tcPr>
          <w:p>
            <w:pPr>
              <w:jc w:val="center"/>
              <w:rPr>
                <w:color w:val="000000"/>
                <w:sz w:val="24"/>
                <w:szCs w:val="24"/>
              </w:rPr>
            </w:pPr>
            <w:r>
              <w:rPr>
                <w:rFonts w:hint="eastAsia"/>
                <w:color w:val="000000"/>
                <w:sz w:val="24"/>
                <w:szCs w:val="24"/>
              </w:rPr>
              <w:t>指标权重15%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2.2.1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基本陈列</w:t>
            </w:r>
          </w:p>
        </w:tc>
        <w:tc>
          <w:tcPr>
            <w:tcW w:w="600" w:type="dxa"/>
            <w:noWrap w:val="0"/>
            <w:vAlign w:val="center"/>
          </w:tcPr>
          <w:p>
            <w:pPr>
              <w:jc w:val="center"/>
              <w:rPr>
                <w:color w:val="000000"/>
                <w:sz w:val="24"/>
                <w:szCs w:val="24"/>
              </w:rPr>
            </w:pPr>
            <w:r>
              <w:rPr>
                <w:rFonts w:hint="eastAsia"/>
                <w:color w:val="000000"/>
                <w:sz w:val="24"/>
                <w:szCs w:val="24"/>
              </w:rPr>
              <w:t>33</w:t>
            </w:r>
          </w:p>
        </w:tc>
        <w:tc>
          <w:tcPr>
            <w:tcW w:w="636" w:type="dxa"/>
            <w:noWrap w:val="0"/>
            <w:vAlign w:val="center"/>
          </w:tcPr>
          <w:p>
            <w:pPr>
              <w:jc w:val="center"/>
              <w:rPr>
                <w:color w:val="000000"/>
                <w:sz w:val="24"/>
                <w:szCs w:val="24"/>
              </w:rPr>
            </w:pPr>
            <w:r>
              <w:rPr>
                <w:rFonts w:hint="eastAsia"/>
                <w:color w:val="000000"/>
                <w:sz w:val="24"/>
                <w:szCs w:val="24"/>
              </w:rPr>
              <w:t>45</w:t>
            </w:r>
          </w:p>
        </w:tc>
        <w:tc>
          <w:tcPr>
            <w:tcW w:w="545" w:type="dxa"/>
            <w:noWrap w:val="0"/>
            <w:vAlign w:val="center"/>
          </w:tcPr>
          <w:p>
            <w:pPr>
              <w:jc w:val="center"/>
              <w:rPr>
                <w:color w:val="000000"/>
                <w:sz w:val="24"/>
                <w:szCs w:val="24"/>
              </w:rPr>
            </w:pPr>
            <w:r>
              <w:rPr>
                <w:rFonts w:hint="eastAsia"/>
                <w:color w:val="000000"/>
                <w:sz w:val="24"/>
                <w:szCs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博物馆基本陈列体系建设，以及现有基本陈列的总体质量情况</w:t>
            </w:r>
          </w:p>
        </w:tc>
        <w:tc>
          <w:tcPr>
            <w:tcW w:w="600" w:type="dxa"/>
            <w:noWrap w:val="0"/>
            <w:vAlign w:val="center"/>
          </w:tcPr>
          <w:p>
            <w:pPr>
              <w:jc w:val="center"/>
              <w:rPr>
                <w:color w:val="000000"/>
                <w:sz w:val="24"/>
                <w:szCs w:val="24"/>
              </w:rPr>
            </w:pPr>
            <w:r>
              <w:rPr>
                <w:rFonts w:hint="eastAsia"/>
                <w:color w:val="000000"/>
                <w:sz w:val="24"/>
                <w:szCs w:val="24"/>
              </w:rPr>
              <w:t>14</w:t>
            </w:r>
          </w:p>
        </w:tc>
        <w:tc>
          <w:tcPr>
            <w:tcW w:w="636" w:type="dxa"/>
            <w:noWrap w:val="0"/>
            <w:vAlign w:val="center"/>
          </w:tcPr>
          <w:p>
            <w:pPr>
              <w:jc w:val="center"/>
              <w:rPr>
                <w:color w:val="000000"/>
                <w:sz w:val="24"/>
                <w:szCs w:val="24"/>
              </w:rPr>
            </w:pPr>
            <w:r>
              <w:rPr>
                <w:rFonts w:hint="eastAsia"/>
                <w:color w:val="000000"/>
                <w:sz w:val="24"/>
                <w:szCs w:val="24"/>
              </w:rPr>
              <w:t>19</w:t>
            </w:r>
          </w:p>
        </w:tc>
        <w:tc>
          <w:tcPr>
            <w:tcW w:w="545" w:type="dxa"/>
            <w:noWrap w:val="0"/>
            <w:vAlign w:val="center"/>
          </w:tcPr>
          <w:p>
            <w:pPr>
              <w:jc w:val="center"/>
              <w:rPr>
                <w:color w:val="000000"/>
                <w:sz w:val="24"/>
                <w:szCs w:val="24"/>
              </w:rPr>
            </w:pPr>
            <w:r>
              <w:rPr>
                <w:rFonts w:hint="eastAsia"/>
                <w:color w:val="000000"/>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rFonts w:hint="eastAsia" w:eastAsia="仿宋_GB2312"/>
                <w:color w:val="000000"/>
                <w:sz w:val="24"/>
                <w:szCs w:val="24"/>
                <w:lang w:eastAsia="zh-CN"/>
              </w:rPr>
            </w:pPr>
            <w:r>
              <w:rPr>
                <w:rFonts w:hint="eastAsia"/>
                <w:color w:val="000000"/>
                <w:sz w:val="24"/>
                <w:szCs w:val="24"/>
              </w:rPr>
              <w:t>基本陈列中展品、展项更新、充实的频率与幅度</w:t>
            </w:r>
            <w:r>
              <w:rPr>
                <w:rFonts w:hint="eastAsia"/>
                <w:color w:val="000000"/>
                <w:sz w:val="24"/>
                <w:szCs w:val="24"/>
                <w:lang w:eastAsia="zh-CN"/>
              </w:rPr>
              <w:t>（原状陈列不考察此项）</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13</w:t>
            </w:r>
          </w:p>
        </w:tc>
        <w:tc>
          <w:tcPr>
            <w:tcW w:w="545" w:type="dxa"/>
            <w:noWrap w:val="0"/>
            <w:vAlign w:val="center"/>
          </w:tcPr>
          <w:p>
            <w:pPr>
              <w:jc w:val="center"/>
              <w:rPr>
                <w:color w:val="000000"/>
                <w:sz w:val="24"/>
                <w:szCs w:val="24"/>
              </w:rPr>
            </w:pPr>
            <w:r>
              <w:rPr>
                <w:rFonts w:hint="eastAsia"/>
                <w:color w:val="00000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基本陈列文化品牌的社会认知、认可度，以及获得奖励、推介的情况</w:t>
            </w:r>
          </w:p>
        </w:tc>
        <w:tc>
          <w:tcPr>
            <w:tcW w:w="600" w:type="dxa"/>
            <w:noWrap w:val="0"/>
            <w:vAlign w:val="center"/>
          </w:tcPr>
          <w:p>
            <w:pPr>
              <w:jc w:val="center"/>
              <w:rPr>
                <w:color w:val="000000"/>
                <w:sz w:val="24"/>
                <w:szCs w:val="24"/>
              </w:rPr>
            </w:pPr>
            <w:r>
              <w:rPr>
                <w:rFonts w:hint="eastAsia"/>
                <w:color w:val="000000"/>
                <w:sz w:val="24"/>
                <w:szCs w:val="24"/>
              </w:rPr>
              <w:t>9</w:t>
            </w:r>
          </w:p>
        </w:tc>
        <w:tc>
          <w:tcPr>
            <w:tcW w:w="636" w:type="dxa"/>
            <w:noWrap w:val="0"/>
            <w:vAlign w:val="center"/>
          </w:tcPr>
          <w:p>
            <w:pPr>
              <w:jc w:val="center"/>
              <w:rPr>
                <w:color w:val="000000"/>
                <w:sz w:val="24"/>
                <w:szCs w:val="24"/>
              </w:rPr>
            </w:pPr>
            <w:r>
              <w:rPr>
                <w:rFonts w:hint="eastAsia"/>
                <w:color w:val="000000"/>
                <w:sz w:val="24"/>
                <w:szCs w:val="24"/>
              </w:rPr>
              <w:t>13</w:t>
            </w:r>
          </w:p>
        </w:tc>
        <w:tc>
          <w:tcPr>
            <w:tcW w:w="545" w:type="dxa"/>
            <w:noWrap w:val="0"/>
            <w:vAlign w:val="center"/>
          </w:tcPr>
          <w:p>
            <w:pPr>
              <w:jc w:val="center"/>
              <w:rPr>
                <w:color w:val="000000"/>
                <w:sz w:val="24"/>
                <w:szCs w:val="24"/>
              </w:rPr>
            </w:pPr>
            <w:r>
              <w:rPr>
                <w:rFonts w:hint="eastAsia"/>
                <w:color w:val="00000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2.2.2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临时展览</w:t>
            </w:r>
          </w:p>
        </w:tc>
        <w:tc>
          <w:tcPr>
            <w:tcW w:w="600" w:type="dxa"/>
            <w:noWrap w:val="0"/>
            <w:vAlign w:val="center"/>
          </w:tcPr>
          <w:p>
            <w:pPr>
              <w:jc w:val="center"/>
              <w:rPr>
                <w:color w:val="000000"/>
                <w:sz w:val="24"/>
                <w:szCs w:val="24"/>
              </w:rPr>
            </w:pPr>
            <w:r>
              <w:rPr>
                <w:rFonts w:hint="eastAsia"/>
                <w:color w:val="000000"/>
                <w:sz w:val="24"/>
                <w:szCs w:val="24"/>
              </w:rPr>
              <w:t>67</w:t>
            </w:r>
          </w:p>
        </w:tc>
        <w:tc>
          <w:tcPr>
            <w:tcW w:w="636" w:type="dxa"/>
            <w:noWrap w:val="0"/>
            <w:vAlign w:val="center"/>
          </w:tcPr>
          <w:p>
            <w:pPr>
              <w:jc w:val="center"/>
              <w:rPr>
                <w:color w:val="000000"/>
                <w:sz w:val="24"/>
                <w:szCs w:val="24"/>
              </w:rPr>
            </w:pPr>
            <w:r>
              <w:rPr>
                <w:rFonts w:hint="eastAsia"/>
                <w:color w:val="000000"/>
                <w:sz w:val="24"/>
                <w:szCs w:val="24"/>
              </w:rPr>
              <w:t>55</w:t>
            </w:r>
          </w:p>
        </w:tc>
        <w:tc>
          <w:tcPr>
            <w:tcW w:w="545" w:type="dxa"/>
            <w:noWrap w:val="0"/>
            <w:vAlign w:val="center"/>
          </w:tcPr>
          <w:p>
            <w:pPr>
              <w:jc w:val="center"/>
              <w:rPr>
                <w:color w:val="000000"/>
                <w:sz w:val="24"/>
                <w:szCs w:val="24"/>
              </w:rPr>
            </w:pPr>
            <w:r>
              <w:rPr>
                <w:rFonts w:hint="eastAsia"/>
                <w:color w:val="000000"/>
                <w:sz w:val="24"/>
                <w:szCs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博物馆临时展览体系建设，以及评估周期内举办临时展览的总体质量情况</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代表性临时展览主题定位与博物馆</w:t>
            </w:r>
            <w:r>
              <w:rPr>
                <w:rFonts w:hint="eastAsia"/>
                <w:color w:val="000000"/>
                <w:sz w:val="24"/>
                <w:szCs w:val="24"/>
                <w:lang w:eastAsia="zh-CN"/>
              </w:rPr>
              <w:t>定位</w:t>
            </w:r>
            <w:r>
              <w:rPr>
                <w:rFonts w:hint="eastAsia"/>
                <w:color w:val="000000"/>
                <w:sz w:val="24"/>
                <w:szCs w:val="24"/>
              </w:rPr>
              <w:t>的契合程度</w:t>
            </w:r>
          </w:p>
        </w:tc>
        <w:tc>
          <w:tcPr>
            <w:tcW w:w="600" w:type="dxa"/>
            <w:noWrap w:val="0"/>
            <w:vAlign w:val="center"/>
          </w:tcPr>
          <w:p>
            <w:pPr>
              <w:jc w:val="center"/>
              <w:rPr>
                <w:color w:val="000000"/>
                <w:sz w:val="24"/>
                <w:szCs w:val="24"/>
              </w:rPr>
            </w:pPr>
            <w:r>
              <w:rPr>
                <w:rFonts w:hint="eastAsia"/>
                <w:color w:val="000000"/>
                <w:sz w:val="24"/>
                <w:szCs w:val="24"/>
              </w:rPr>
              <w:t>11</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代表性临时展览的内容策划水平，以及学术性、思想性情况</w:t>
            </w:r>
          </w:p>
        </w:tc>
        <w:tc>
          <w:tcPr>
            <w:tcW w:w="600" w:type="dxa"/>
            <w:noWrap w:val="0"/>
            <w:vAlign w:val="center"/>
          </w:tcPr>
          <w:p>
            <w:pPr>
              <w:jc w:val="center"/>
              <w:rPr>
                <w:color w:val="000000"/>
                <w:sz w:val="24"/>
                <w:szCs w:val="24"/>
              </w:rPr>
            </w:pPr>
            <w:r>
              <w:rPr>
                <w:rFonts w:hint="eastAsia"/>
                <w:color w:val="000000"/>
                <w:sz w:val="24"/>
                <w:szCs w:val="24"/>
              </w:rPr>
              <w:t>11</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代表性临时展览形式设计水平，以及陈列主题和思想内容情况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代表性临时展览运用辅助展品和现代信息技术手段提升文化传播水平的情况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代表性临时展览文化品牌社会认知、认可度，以及获得奖励、推介的情况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基本陈列（含原状陈列）数（基础分：1个/分）</w:t>
            </w:r>
          </w:p>
        </w:tc>
        <w:tc>
          <w:tcPr>
            <w:tcW w:w="600" w:type="dxa"/>
            <w:noWrap w:val="0"/>
            <w:vAlign w:val="center"/>
          </w:tcPr>
          <w:p>
            <w:pPr>
              <w:jc w:val="center"/>
              <w:rPr>
                <w:color w:val="000000"/>
                <w:sz w:val="24"/>
                <w:szCs w:val="24"/>
              </w:rPr>
            </w:pPr>
            <w:r>
              <w:rPr>
                <w:rFonts w:hint="eastAsia"/>
                <w:color w:val="000000"/>
                <w:sz w:val="24"/>
                <w:szCs w:val="24"/>
              </w:rPr>
              <w:t>40</w:t>
            </w:r>
          </w:p>
        </w:tc>
        <w:tc>
          <w:tcPr>
            <w:tcW w:w="636" w:type="dxa"/>
            <w:noWrap w:val="0"/>
            <w:vAlign w:val="center"/>
          </w:tcPr>
          <w:p>
            <w:pPr>
              <w:jc w:val="center"/>
              <w:rPr>
                <w:color w:val="000000"/>
                <w:sz w:val="24"/>
                <w:szCs w:val="24"/>
              </w:rPr>
            </w:pPr>
            <w:r>
              <w:rPr>
                <w:rFonts w:hint="eastAsia"/>
                <w:color w:val="000000"/>
                <w:sz w:val="24"/>
                <w:szCs w:val="24"/>
              </w:rPr>
              <w:t>40</w:t>
            </w:r>
          </w:p>
        </w:tc>
        <w:tc>
          <w:tcPr>
            <w:tcW w:w="545" w:type="dxa"/>
            <w:noWrap w:val="0"/>
            <w:vAlign w:val="center"/>
          </w:tcPr>
          <w:p>
            <w:pPr>
              <w:jc w:val="center"/>
              <w:rPr>
                <w:color w:val="000000"/>
                <w:sz w:val="24"/>
                <w:szCs w:val="24"/>
              </w:rPr>
            </w:pPr>
            <w:r>
              <w:rPr>
                <w:rFonts w:hint="eastAsia"/>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馆内原创临时展览数（基础分：1个/分）</w:t>
            </w:r>
          </w:p>
        </w:tc>
        <w:tc>
          <w:tcPr>
            <w:tcW w:w="600" w:type="dxa"/>
            <w:noWrap w:val="0"/>
            <w:vAlign w:val="center"/>
          </w:tcPr>
          <w:p>
            <w:pPr>
              <w:jc w:val="center"/>
              <w:rPr>
                <w:color w:val="000000"/>
                <w:sz w:val="24"/>
                <w:szCs w:val="24"/>
              </w:rPr>
            </w:pPr>
            <w:r>
              <w:rPr>
                <w:rFonts w:hint="eastAsia"/>
                <w:color w:val="000000"/>
                <w:sz w:val="24"/>
                <w:szCs w:val="24"/>
              </w:rPr>
              <w:t>30</w:t>
            </w:r>
          </w:p>
        </w:tc>
        <w:tc>
          <w:tcPr>
            <w:tcW w:w="636" w:type="dxa"/>
            <w:noWrap w:val="0"/>
            <w:vAlign w:val="center"/>
          </w:tcPr>
          <w:p>
            <w:pPr>
              <w:jc w:val="center"/>
              <w:rPr>
                <w:color w:val="000000"/>
                <w:sz w:val="24"/>
                <w:szCs w:val="24"/>
              </w:rPr>
            </w:pPr>
            <w:r>
              <w:rPr>
                <w:rFonts w:hint="eastAsia"/>
                <w:color w:val="000000"/>
                <w:sz w:val="24"/>
                <w:szCs w:val="24"/>
              </w:rPr>
              <w:t>30</w:t>
            </w:r>
          </w:p>
        </w:tc>
        <w:tc>
          <w:tcPr>
            <w:tcW w:w="545" w:type="dxa"/>
            <w:noWrap w:val="0"/>
            <w:vAlign w:val="center"/>
          </w:tcPr>
          <w:p>
            <w:pPr>
              <w:jc w:val="center"/>
              <w:rPr>
                <w:color w:val="000000"/>
                <w:sz w:val="24"/>
                <w:szCs w:val="24"/>
              </w:rPr>
            </w:pPr>
            <w:r>
              <w:rPr>
                <w:rFonts w:hint="eastAsia"/>
                <w:color w:val="00000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馆际合作展览数（基础分：1个/分）</w:t>
            </w:r>
          </w:p>
        </w:tc>
        <w:tc>
          <w:tcPr>
            <w:tcW w:w="600" w:type="dxa"/>
            <w:noWrap w:val="0"/>
            <w:vAlign w:val="center"/>
          </w:tcPr>
          <w:p>
            <w:pPr>
              <w:jc w:val="center"/>
              <w:rPr>
                <w:color w:val="000000"/>
                <w:sz w:val="24"/>
                <w:szCs w:val="24"/>
              </w:rPr>
            </w:pPr>
            <w:r>
              <w:rPr>
                <w:rFonts w:hint="eastAsia"/>
                <w:color w:val="000000"/>
                <w:sz w:val="24"/>
                <w:szCs w:val="24"/>
              </w:rPr>
              <w:t>30</w:t>
            </w:r>
          </w:p>
        </w:tc>
        <w:tc>
          <w:tcPr>
            <w:tcW w:w="636" w:type="dxa"/>
            <w:noWrap w:val="0"/>
            <w:vAlign w:val="center"/>
          </w:tcPr>
          <w:p>
            <w:pPr>
              <w:jc w:val="center"/>
              <w:rPr>
                <w:color w:val="000000"/>
                <w:sz w:val="24"/>
                <w:szCs w:val="24"/>
              </w:rPr>
            </w:pPr>
            <w:r>
              <w:rPr>
                <w:rFonts w:hint="eastAsia"/>
                <w:color w:val="000000"/>
                <w:sz w:val="24"/>
                <w:szCs w:val="24"/>
              </w:rPr>
              <w:t>30</w:t>
            </w:r>
          </w:p>
        </w:tc>
        <w:tc>
          <w:tcPr>
            <w:tcW w:w="545" w:type="dxa"/>
            <w:noWrap w:val="0"/>
            <w:vAlign w:val="center"/>
          </w:tcPr>
          <w:p>
            <w:pPr>
              <w:jc w:val="center"/>
              <w:rPr>
                <w:color w:val="000000"/>
                <w:sz w:val="24"/>
                <w:szCs w:val="24"/>
              </w:rPr>
            </w:pPr>
            <w:r>
              <w:rPr>
                <w:rFonts w:hint="eastAsia"/>
                <w:color w:val="00000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2.3</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教育服务</w:t>
            </w:r>
          </w:p>
        </w:tc>
        <w:tc>
          <w:tcPr>
            <w:tcW w:w="1781" w:type="dxa"/>
            <w:gridSpan w:val="3"/>
            <w:noWrap w:val="0"/>
            <w:vAlign w:val="center"/>
          </w:tcPr>
          <w:p>
            <w:pPr>
              <w:jc w:val="center"/>
              <w:rPr>
                <w:color w:val="000000"/>
                <w:sz w:val="24"/>
                <w:szCs w:val="24"/>
              </w:rPr>
            </w:pPr>
            <w:r>
              <w:rPr>
                <w:rFonts w:hint="eastAsia"/>
                <w:color w:val="000000"/>
                <w:sz w:val="24"/>
                <w:szCs w:val="24"/>
              </w:rPr>
              <w:t>指标权重15%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2.3.1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rFonts w:hint="eastAsia" w:eastAsia="宋体"/>
                <w:color w:val="000000"/>
                <w:sz w:val="24"/>
                <w:szCs w:val="24"/>
                <w:lang w:eastAsia="zh-CN"/>
              </w:rPr>
            </w:pPr>
            <w:r>
              <w:rPr>
                <w:rFonts w:hint="eastAsia"/>
                <w:color w:val="000000"/>
                <w:sz w:val="24"/>
                <w:szCs w:val="24"/>
                <w:lang w:eastAsia="zh-CN"/>
              </w:rPr>
              <w:t>讲解服务</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30</w:t>
            </w:r>
          </w:p>
        </w:tc>
        <w:tc>
          <w:tcPr>
            <w:tcW w:w="545" w:type="dxa"/>
            <w:noWrap w:val="0"/>
            <w:vAlign w:val="center"/>
          </w:tcPr>
          <w:p>
            <w:pPr>
              <w:jc w:val="center"/>
              <w:rPr>
                <w:color w:val="000000"/>
                <w:sz w:val="24"/>
                <w:szCs w:val="24"/>
              </w:rPr>
            </w:pPr>
            <w:r>
              <w:rPr>
                <w:rFonts w:hint="eastAsia"/>
                <w:color w:val="000000"/>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讲解队伍建设和服务能力情况</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日常公益性讲解导览服务情况</w:t>
            </w:r>
          </w:p>
        </w:tc>
        <w:tc>
          <w:tcPr>
            <w:tcW w:w="600" w:type="dxa"/>
            <w:noWrap w:val="0"/>
            <w:vAlign w:val="center"/>
          </w:tcPr>
          <w:p>
            <w:pPr>
              <w:jc w:val="center"/>
              <w:rPr>
                <w:color w:val="000000"/>
                <w:sz w:val="24"/>
                <w:szCs w:val="24"/>
              </w:rPr>
            </w:pPr>
            <w:r>
              <w:rPr>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馆长、专家导览等特色化讲解导览服务情况</w:t>
            </w:r>
          </w:p>
        </w:tc>
        <w:tc>
          <w:tcPr>
            <w:tcW w:w="600" w:type="dxa"/>
            <w:noWrap w:val="0"/>
            <w:vAlign w:val="center"/>
          </w:tcPr>
          <w:p>
            <w:pPr>
              <w:jc w:val="center"/>
              <w:rPr>
                <w:color w:val="000000"/>
                <w:sz w:val="24"/>
                <w:szCs w:val="24"/>
              </w:rPr>
            </w:pPr>
            <w:r>
              <w:rPr>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智慧导览服务情况</w:t>
            </w:r>
          </w:p>
        </w:tc>
        <w:tc>
          <w:tcPr>
            <w:tcW w:w="600" w:type="dxa"/>
            <w:noWrap w:val="0"/>
            <w:vAlign w:val="center"/>
          </w:tcPr>
          <w:p>
            <w:pPr>
              <w:jc w:val="center"/>
              <w:rPr>
                <w:color w:val="000000"/>
                <w:sz w:val="24"/>
                <w:szCs w:val="24"/>
              </w:rPr>
            </w:pPr>
            <w:r>
              <w:rPr>
                <w:rFonts w:hint="eastAsia"/>
                <w:color w:val="000000"/>
                <w:sz w:val="24"/>
                <w:szCs w:val="24"/>
              </w:rPr>
              <w:t>3</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2.3.2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教育活动</w:t>
            </w:r>
          </w:p>
        </w:tc>
        <w:tc>
          <w:tcPr>
            <w:tcW w:w="600" w:type="dxa"/>
            <w:noWrap w:val="0"/>
            <w:vAlign w:val="center"/>
          </w:tcPr>
          <w:p>
            <w:pPr>
              <w:jc w:val="center"/>
              <w:rPr>
                <w:color w:val="000000"/>
                <w:sz w:val="24"/>
                <w:szCs w:val="24"/>
              </w:rPr>
            </w:pPr>
            <w:r>
              <w:rPr>
                <w:rFonts w:hint="eastAsia"/>
                <w:color w:val="000000"/>
                <w:sz w:val="24"/>
                <w:szCs w:val="24"/>
              </w:rPr>
              <w:t>77</w:t>
            </w:r>
          </w:p>
        </w:tc>
        <w:tc>
          <w:tcPr>
            <w:tcW w:w="636" w:type="dxa"/>
            <w:noWrap w:val="0"/>
            <w:vAlign w:val="center"/>
          </w:tcPr>
          <w:p>
            <w:pPr>
              <w:jc w:val="center"/>
              <w:rPr>
                <w:color w:val="000000"/>
                <w:sz w:val="24"/>
                <w:szCs w:val="24"/>
              </w:rPr>
            </w:pPr>
            <w:r>
              <w:rPr>
                <w:rFonts w:hint="eastAsia"/>
                <w:color w:val="000000"/>
                <w:sz w:val="24"/>
                <w:szCs w:val="24"/>
              </w:rPr>
              <w:t>60</w:t>
            </w:r>
          </w:p>
        </w:tc>
        <w:tc>
          <w:tcPr>
            <w:tcW w:w="545" w:type="dxa"/>
            <w:noWrap w:val="0"/>
            <w:vAlign w:val="center"/>
          </w:tcPr>
          <w:p>
            <w:pPr>
              <w:jc w:val="center"/>
              <w:rPr>
                <w:color w:val="000000"/>
                <w:sz w:val="24"/>
                <w:szCs w:val="24"/>
              </w:rPr>
            </w:pPr>
            <w:r>
              <w:rPr>
                <w:rFonts w:hint="eastAsia"/>
                <w:color w:val="000000"/>
                <w:sz w:val="24"/>
                <w:szCs w:val="24"/>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博物馆教育活动规划编制与实施的总体情况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接待青少年群体利用博物馆资源，组织开展爱国主义、革命传统、中华优秀传统文化、生态文明、国家安全、“大思政课”等主题的研学实践教育活动的情况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博物馆与当地各类学校联系，签订馆校共建协议，开展博物馆进校园活动的情况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6</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博物馆根据青少年群体认知规律和学校教育教学需求，结合传统节日、纪念日等，组织开展各类经常性教育课程、教育活动的质量水平</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代表性教育活动的质量水平</w:t>
            </w:r>
          </w:p>
        </w:tc>
        <w:tc>
          <w:tcPr>
            <w:tcW w:w="600" w:type="dxa"/>
            <w:noWrap w:val="0"/>
            <w:vAlign w:val="center"/>
          </w:tcPr>
          <w:p>
            <w:pPr>
              <w:jc w:val="center"/>
              <w:rPr>
                <w:color w:val="000000"/>
                <w:sz w:val="24"/>
                <w:szCs w:val="24"/>
              </w:rPr>
            </w:pPr>
            <w:r>
              <w:rPr>
                <w:rFonts w:hint="eastAsia"/>
                <w:color w:val="000000"/>
                <w:sz w:val="24"/>
                <w:szCs w:val="24"/>
              </w:rPr>
              <w:t>17</w:t>
            </w:r>
          </w:p>
        </w:tc>
        <w:tc>
          <w:tcPr>
            <w:tcW w:w="636" w:type="dxa"/>
            <w:noWrap w:val="0"/>
            <w:vAlign w:val="center"/>
          </w:tcPr>
          <w:p>
            <w:pPr>
              <w:jc w:val="center"/>
              <w:rPr>
                <w:color w:val="000000"/>
                <w:sz w:val="24"/>
                <w:szCs w:val="24"/>
              </w:rPr>
            </w:pPr>
            <w:r>
              <w:rPr>
                <w:rFonts w:hint="eastAsia"/>
                <w:color w:val="000000"/>
                <w:sz w:val="24"/>
                <w:szCs w:val="24"/>
              </w:rPr>
              <w:t>13</w:t>
            </w:r>
          </w:p>
        </w:tc>
        <w:tc>
          <w:tcPr>
            <w:tcW w:w="545" w:type="dxa"/>
            <w:noWrap w:val="0"/>
            <w:vAlign w:val="center"/>
          </w:tcPr>
          <w:p>
            <w:pPr>
              <w:jc w:val="center"/>
              <w:rPr>
                <w:color w:val="000000"/>
                <w:sz w:val="24"/>
                <w:szCs w:val="24"/>
              </w:rPr>
            </w:pPr>
            <w:r>
              <w:rPr>
                <w:rFonts w:hint="eastAsia"/>
                <w:color w:val="00000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代表性教育活动面向学校、社区等群体和互联网平台推广情况，以及大中小学生、社区公众、网络受众的参与情况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代表性教育活动品牌创建及其社会认知、认可度</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2.3.3</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公益鉴定</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博物馆公益鉴定服务制度、规划的编制情况</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博物馆公益鉴定服务实施的总体情况，如鉴定文物的类别，社会认知、认可度，服务推广情况</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讲解队伍人数（基础分：1人/分）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人工讲解服务人次（基础分：100人次/分）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智慧导览设备终端数（基础分：1台/分）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智慧导览设备服务人次（基础分：1000人次/分）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线下教育活动数（基础分：1场/分）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青少年教育课程数（基础分：1课/分）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共建学校数量（基础分：1校/分）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学校教育服务次数（基础分：1次/分）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培训师资人数（基础分：1人/分）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教育活动参与人数（基础分：100人次/分）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鉴定场次（基础分：1场/分）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鉴定数量（基础分：1件/分）</w:t>
            </w:r>
          </w:p>
        </w:tc>
        <w:tc>
          <w:tcPr>
            <w:tcW w:w="600" w:type="dxa"/>
            <w:noWrap w:val="0"/>
            <w:vAlign w:val="center"/>
          </w:tcPr>
          <w:p>
            <w:pPr>
              <w:jc w:val="center"/>
              <w:rPr>
                <w:color w:val="000000"/>
                <w:sz w:val="24"/>
                <w:szCs w:val="24"/>
              </w:rPr>
            </w:pPr>
            <w:r>
              <w:rPr>
                <w:rFonts w:hint="eastAsia"/>
                <w:color w:val="000000"/>
                <w:sz w:val="24"/>
                <w:szCs w:val="24"/>
              </w:rPr>
              <w:t>8</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7" w:type="dxa"/>
            <w:noWrap w:val="0"/>
            <w:vAlign w:val="center"/>
          </w:tcPr>
          <w:p>
            <w:pPr>
              <w:jc w:val="left"/>
              <w:rPr>
                <w:color w:val="000000"/>
                <w:sz w:val="24"/>
                <w:szCs w:val="24"/>
              </w:rPr>
            </w:pPr>
            <w:r>
              <w:rPr>
                <w:rFonts w:hint="eastAsia"/>
                <w:color w:val="000000"/>
                <w:sz w:val="24"/>
                <w:szCs w:val="24"/>
              </w:rPr>
              <w:t>2.4</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文化传播</w:t>
            </w:r>
          </w:p>
        </w:tc>
        <w:tc>
          <w:tcPr>
            <w:tcW w:w="1781" w:type="dxa"/>
            <w:gridSpan w:val="3"/>
            <w:noWrap w:val="0"/>
            <w:vAlign w:val="center"/>
          </w:tcPr>
          <w:p>
            <w:pPr>
              <w:jc w:val="center"/>
              <w:rPr>
                <w:b/>
                <w:bCs/>
                <w:color w:val="000000"/>
                <w:sz w:val="24"/>
                <w:szCs w:val="24"/>
              </w:rPr>
            </w:pPr>
            <w:r>
              <w:rPr>
                <w:rFonts w:hint="eastAsia"/>
                <w:color w:val="000000"/>
                <w:sz w:val="24"/>
                <w:szCs w:val="24"/>
              </w:rPr>
              <w:t>指标权重10%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2.4.1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馆际协作</w:t>
            </w:r>
          </w:p>
        </w:tc>
        <w:tc>
          <w:tcPr>
            <w:tcW w:w="600" w:type="dxa"/>
            <w:noWrap w:val="0"/>
            <w:vAlign w:val="center"/>
          </w:tcPr>
          <w:p>
            <w:pPr>
              <w:jc w:val="center"/>
              <w:rPr>
                <w:color w:val="000000"/>
                <w:sz w:val="24"/>
                <w:szCs w:val="24"/>
              </w:rPr>
            </w:pPr>
            <w:r>
              <w:rPr>
                <w:rFonts w:hint="eastAsia"/>
                <w:color w:val="000000"/>
                <w:sz w:val="24"/>
                <w:szCs w:val="24"/>
              </w:rPr>
              <w:t>25</w:t>
            </w:r>
          </w:p>
        </w:tc>
        <w:tc>
          <w:tcPr>
            <w:tcW w:w="636" w:type="dxa"/>
            <w:noWrap w:val="0"/>
            <w:vAlign w:val="center"/>
          </w:tcPr>
          <w:p>
            <w:pPr>
              <w:jc w:val="center"/>
              <w:rPr>
                <w:color w:val="000000"/>
                <w:sz w:val="24"/>
                <w:szCs w:val="24"/>
              </w:rPr>
            </w:pPr>
            <w:r>
              <w:rPr>
                <w:rFonts w:hint="eastAsia"/>
                <w:color w:val="000000"/>
                <w:sz w:val="24"/>
                <w:szCs w:val="24"/>
              </w:rPr>
              <w:t>28</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向国内其他博物馆输出展览、展品的综合质量水平</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举办国内学术研讨等文化交流活动的综合质量水平</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面向中小博物馆、非国有博物馆开展对口帮扶、馆际协作情况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6</w:t>
            </w:r>
          </w:p>
        </w:tc>
        <w:tc>
          <w:tcPr>
            <w:tcW w:w="545" w:type="dxa"/>
            <w:noWrap w:val="0"/>
            <w:vAlign w:val="center"/>
          </w:tcPr>
          <w:p>
            <w:pPr>
              <w:jc w:val="center"/>
              <w:rPr>
                <w:color w:val="000000"/>
                <w:sz w:val="24"/>
                <w:szCs w:val="24"/>
              </w:rPr>
            </w:pPr>
            <w:r>
              <w:rPr>
                <w:rFonts w:hint="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实施“博物馆+”战略，与教育、科技、旅游、商业、传媒、设计等各类社会机构开展跨界合作情况</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7</w:t>
            </w:r>
          </w:p>
        </w:tc>
        <w:tc>
          <w:tcPr>
            <w:tcW w:w="545" w:type="dxa"/>
            <w:noWrap w:val="0"/>
            <w:vAlign w:val="center"/>
          </w:tcPr>
          <w:p>
            <w:pPr>
              <w:jc w:val="center"/>
              <w:rPr>
                <w:color w:val="000000"/>
                <w:sz w:val="24"/>
                <w:szCs w:val="24"/>
              </w:rPr>
            </w:pPr>
            <w:r>
              <w:rPr>
                <w:rFonts w:hint="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867" w:type="dxa"/>
            <w:noWrap w:val="0"/>
            <w:vAlign w:val="center"/>
          </w:tcPr>
          <w:p>
            <w:pPr>
              <w:jc w:val="left"/>
              <w:rPr>
                <w:color w:val="000000"/>
                <w:sz w:val="24"/>
                <w:szCs w:val="24"/>
              </w:rPr>
            </w:pPr>
            <w:r>
              <w:rPr>
                <w:rFonts w:hint="eastAsia"/>
                <w:color w:val="000000"/>
                <w:sz w:val="24"/>
                <w:szCs w:val="24"/>
              </w:rPr>
              <w:t>2.4.2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国际交流</w:t>
            </w:r>
          </w:p>
        </w:tc>
        <w:tc>
          <w:tcPr>
            <w:tcW w:w="600" w:type="dxa"/>
            <w:noWrap w:val="0"/>
            <w:vAlign w:val="center"/>
          </w:tcPr>
          <w:p>
            <w:pPr>
              <w:jc w:val="center"/>
              <w:rPr>
                <w:color w:val="000000"/>
                <w:sz w:val="24"/>
                <w:szCs w:val="24"/>
              </w:rPr>
            </w:pPr>
            <w:r>
              <w:rPr>
                <w:rFonts w:hint="eastAsia"/>
                <w:color w:val="000000"/>
                <w:sz w:val="24"/>
                <w:szCs w:val="24"/>
              </w:rPr>
              <w:t>25</w:t>
            </w:r>
          </w:p>
        </w:tc>
        <w:tc>
          <w:tcPr>
            <w:tcW w:w="636" w:type="dxa"/>
            <w:noWrap w:val="0"/>
            <w:vAlign w:val="center"/>
          </w:tcPr>
          <w:p>
            <w:pPr>
              <w:jc w:val="center"/>
              <w:rPr>
                <w:color w:val="000000"/>
                <w:sz w:val="24"/>
                <w:szCs w:val="24"/>
              </w:rPr>
            </w:pPr>
            <w:r>
              <w:rPr>
                <w:rFonts w:hint="eastAsia"/>
                <w:color w:val="000000"/>
                <w:sz w:val="24"/>
                <w:szCs w:val="24"/>
              </w:rPr>
              <w:t>14</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独立或参与举办进出境展览的综合质量水平</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4</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举办国际学术研讨活动的综合质量水平</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4</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参加国际学术交流活动的总体情况</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3</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组织开展或参与文物保护、考古、科研等领域国际合作项目的情况</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3</w:t>
            </w:r>
          </w:p>
        </w:tc>
        <w:tc>
          <w:tcPr>
            <w:tcW w:w="545" w:type="dxa"/>
            <w:noWrap w:val="0"/>
            <w:vAlign w:val="center"/>
          </w:tcPr>
          <w:p>
            <w:pPr>
              <w:jc w:val="center"/>
              <w:rPr>
                <w:color w:val="000000"/>
                <w:sz w:val="24"/>
                <w:szCs w:val="24"/>
              </w:rPr>
            </w:pPr>
            <w:r>
              <w:rPr>
                <w:rFonts w:hint="eastAsia"/>
                <w:color w:val="00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rFonts w:hint="eastAsia" w:eastAsia="宋体"/>
                <w:color w:val="000000"/>
                <w:sz w:val="24"/>
                <w:szCs w:val="24"/>
                <w:lang w:val="en-US" w:eastAsia="zh-CN"/>
              </w:rPr>
            </w:pPr>
            <w:r>
              <w:rPr>
                <w:rFonts w:hint="eastAsia"/>
                <w:color w:val="000000"/>
                <w:sz w:val="24"/>
                <w:szCs w:val="24"/>
              </w:rPr>
              <w:t>2.4.</w:t>
            </w:r>
            <w:r>
              <w:rPr>
                <w:rFonts w:hint="eastAsia"/>
                <w:color w:val="000000"/>
                <w:sz w:val="24"/>
                <w:szCs w:val="24"/>
                <w:lang w:val="en-US" w:eastAsia="zh-CN"/>
              </w:rPr>
              <w:t>3</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数字传播</w:t>
            </w:r>
          </w:p>
        </w:tc>
        <w:tc>
          <w:tcPr>
            <w:tcW w:w="600" w:type="dxa"/>
            <w:noWrap w:val="0"/>
            <w:vAlign w:val="center"/>
          </w:tcPr>
          <w:p>
            <w:pPr>
              <w:jc w:val="center"/>
              <w:rPr>
                <w:color w:val="000000"/>
                <w:sz w:val="24"/>
                <w:szCs w:val="24"/>
              </w:rPr>
            </w:pPr>
            <w:r>
              <w:rPr>
                <w:rFonts w:hint="eastAsia"/>
                <w:color w:val="000000"/>
                <w:sz w:val="24"/>
                <w:szCs w:val="24"/>
              </w:rPr>
              <w:t>37</w:t>
            </w:r>
          </w:p>
        </w:tc>
        <w:tc>
          <w:tcPr>
            <w:tcW w:w="636" w:type="dxa"/>
            <w:noWrap w:val="0"/>
            <w:vAlign w:val="center"/>
          </w:tcPr>
          <w:p>
            <w:pPr>
              <w:jc w:val="center"/>
              <w:rPr>
                <w:color w:val="000000"/>
                <w:sz w:val="24"/>
                <w:szCs w:val="24"/>
              </w:rPr>
            </w:pPr>
            <w:r>
              <w:rPr>
                <w:rFonts w:hint="eastAsia"/>
                <w:color w:val="000000"/>
                <w:sz w:val="24"/>
                <w:szCs w:val="24"/>
              </w:rPr>
              <w:t>43</w:t>
            </w:r>
          </w:p>
        </w:tc>
        <w:tc>
          <w:tcPr>
            <w:tcW w:w="545" w:type="dxa"/>
            <w:noWrap w:val="0"/>
            <w:vAlign w:val="center"/>
          </w:tcPr>
          <w:p>
            <w:pPr>
              <w:jc w:val="center"/>
              <w:rPr>
                <w:color w:val="000000"/>
                <w:sz w:val="24"/>
                <w:szCs w:val="24"/>
              </w:rPr>
            </w:pPr>
            <w:r>
              <w:rPr>
                <w:rFonts w:hint="eastAsia"/>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在本馆官方网站等渠道开放查询、展示藏品数据信息和高清影像的情况</w:t>
            </w:r>
          </w:p>
        </w:tc>
        <w:tc>
          <w:tcPr>
            <w:tcW w:w="600" w:type="dxa"/>
            <w:noWrap w:val="0"/>
            <w:vAlign w:val="center"/>
          </w:tcPr>
          <w:p>
            <w:pPr>
              <w:jc w:val="center"/>
              <w:rPr>
                <w:color w:val="000000"/>
                <w:sz w:val="24"/>
                <w:szCs w:val="24"/>
              </w:rPr>
            </w:pPr>
            <w:r>
              <w:rPr>
                <w:rFonts w:hint="eastAsia"/>
                <w:color w:val="000000"/>
                <w:sz w:val="24"/>
                <w:szCs w:val="24"/>
              </w:rPr>
              <w:t>9</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与融媒体平台合作，针对网络受众推出的云展览、云讲解、云教育（云课程）、短视频、高清直播、虚拟展厅、沉浸式体验等各类线上数字化体验产品的情况</w:t>
            </w:r>
          </w:p>
        </w:tc>
        <w:tc>
          <w:tcPr>
            <w:tcW w:w="600" w:type="dxa"/>
            <w:noWrap w:val="0"/>
            <w:vAlign w:val="center"/>
          </w:tcPr>
          <w:p>
            <w:pPr>
              <w:jc w:val="center"/>
              <w:rPr>
                <w:color w:val="000000"/>
                <w:sz w:val="24"/>
                <w:szCs w:val="24"/>
              </w:rPr>
            </w:pPr>
            <w:r>
              <w:rPr>
                <w:rFonts w:hint="eastAsia"/>
                <w:color w:val="000000"/>
                <w:sz w:val="24"/>
                <w:szCs w:val="24"/>
              </w:rPr>
              <w:t>13</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代表性线上数字化体验产品的质量水平</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19</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rFonts w:hint="eastAsia" w:eastAsia="宋体"/>
                <w:color w:val="000000"/>
                <w:sz w:val="24"/>
                <w:szCs w:val="24"/>
                <w:lang w:val="en-US" w:eastAsia="zh-CN"/>
              </w:rPr>
            </w:pPr>
            <w:r>
              <w:rPr>
                <w:rFonts w:hint="eastAsia"/>
                <w:color w:val="000000"/>
                <w:sz w:val="24"/>
                <w:szCs w:val="24"/>
              </w:rPr>
              <w:t>2.4.</w:t>
            </w:r>
            <w:r>
              <w:rPr>
                <w:rFonts w:hint="eastAsia"/>
                <w:color w:val="000000"/>
                <w:sz w:val="24"/>
                <w:szCs w:val="24"/>
                <w:lang w:val="en-US" w:eastAsia="zh-CN"/>
              </w:rPr>
              <w:t>4</w:t>
            </w:r>
          </w:p>
        </w:tc>
        <w:tc>
          <w:tcPr>
            <w:tcW w:w="1230" w:type="dxa"/>
            <w:noWrap w:val="0"/>
            <w:vAlign w:val="center"/>
          </w:tcPr>
          <w:p>
            <w:pPr>
              <w:jc w:val="left"/>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文创经营</w:t>
            </w:r>
          </w:p>
        </w:tc>
        <w:tc>
          <w:tcPr>
            <w:tcW w:w="600" w:type="dxa"/>
            <w:noWrap w:val="0"/>
            <w:vAlign w:val="center"/>
          </w:tcPr>
          <w:p>
            <w:pPr>
              <w:jc w:val="center"/>
              <w:rPr>
                <w:color w:val="000000"/>
                <w:sz w:val="24"/>
                <w:szCs w:val="24"/>
              </w:rPr>
            </w:pPr>
            <w:r>
              <w:rPr>
                <w:rFonts w:hint="eastAsia"/>
                <w:color w:val="000000"/>
                <w:sz w:val="24"/>
                <w:szCs w:val="24"/>
              </w:rPr>
              <w:t>13</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left"/>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博物馆通过授权等手段开发文创产品的种类、特色、以及获得经济、社会效益的情况</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left"/>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代表性文创产品质量水平</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left"/>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代表性文创产品的品牌创建及其社会认知、认可度</w:t>
            </w:r>
          </w:p>
        </w:tc>
        <w:tc>
          <w:tcPr>
            <w:tcW w:w="600" w:type="dxa"/>
            <w:noWrap w:val="0"/>
            <w:vAlign w:val="center"/>
          </w:tcPr>
          <w:p>
            <w:pPr>
              <w:jc w:val="center"/>
              <w:rPr>
                <w:color w:val="000000"/>
                <w:sz w:val="24"/>
                <w:szCs w:val="24"/>
              </w:rPr>
            </w:pPr>
            <w:r>
              <w:rPr>
                <w:rFonts w:hint="eastAsia"/>
                <w:color w:val="000000"/>
                <w:sz w:val="24"/>
                <w:szCs w:val="24"/>
              </w:rPr>
              <w:t>4</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输出展览数（基础分：1次/分）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入境展览数（基础分：1个/分）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出境展览数（基础分：1个/分）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国内学术研讨活动次数（基础分：1次/分）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国际学术研讨活动次数（基础分：1次/分）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文化创意产品数（基础分：1类/分）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文化创意产品销售收入（基础分：10000元/分）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公开藏品信息数量（基础分：100件（套）/分）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线上数字化体验产品数量（基础分：1项/分）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线上数字化体验产品浏览量（基础分：10000次/分）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67" w:type="dxa"/>
            <w:noWrap w:val="0"/>
            <w:vAlign w:val="center"/>
          </w:tcPr>
          <w:p>
            <w:pPr>
              <w:jc w:val="left"/>
              <w:rPr>
                <w:b/>
                <w:bCs/>
                <w:color w:val="000000"/>
                <w:sz w:val="24"/>
                <w:szCs w:val="24"/>
              </w:rPr>
            </w:pPr>
            <w:r>
              <w:rPr>
                <w:rFonts w:hint="eastAsia"/>
                <w:b/>
                <w:bCs/>
                <w:color w:val="000000"/>
                <w:sz w:val="24"/>
                <w:szCs w:val="24"/>
              </w:rPr>
              <w:t>3</w:t>
            </w:r>
          </w:p>
        </w:tc>
        <w:tc>
          <w:tcPr>
            <w:tcW w:w="1230" w:type="dxa"/>
            <w:noWrap w:val="0"/>
            <w:vAlign w:val="center"/>
          </w:tcPr>
          <w:p>
            <w:pPr>
              <w:jc w:val="center"/>
              <w:rPr>
                <w:b/>
                <w:bCs/>
                <w:color w:val="000000"/>
                <w:sz w:val="24"/>
                <w:szCs w:val="24"/>
              </w:rPr>
            </w:pPr>
            <w:r>
              <w:rPr>
                <w:rFonts w:hint="eastAsia"/>
                <w:b/>
                <w:bCs/>
                <w:color w:val="000000"/>
                <w:sz w:val="24"/>
                <w:szCs w:val="24"/>
              </w:rPr>
              <w:t>一级指标</w:t>
            </w:r>
          </w:p>
        </w:tc>
        <w:tc>
          <w:tcPr>
            <w:tcW w:w="4644" w:type="dxa"/>
            <w:noWrap w:val="0"/>
            <w:vAlign w:val="center"/>
          </w:tcPr>
          <w:p>
            <w:pPr>
              <w:jc w:val="left"/>
              <w:rPr>
                <w:b/>
                <w:bCs/>
                <w:color w:val="000000"/>
                <w:sz w:val="24"/>
                <w:szCs w:val="24"/>
              </w:rPr>
            </w:pPr>
            <w:r>
              <w:rPr>
                <w:rFonts w:hint="eastAsia"/>
                <w:b/>
                <w:bCs/>
                <w:color w:val="000000"/>
                <w:sz w:val="24"/>
                <w:szCs w:val="24"/>
              </w:rPr>
              <w:t>社会评价</w:t>
            </w:r>
          </w:p>
        </w:tc>
        <w:tc>
          <w:tcPr>
            <w:tcW w:w="1781" w:type="dxa"/>
            <w:gridSpan w:val="3"/>
            <w:noWrap w:val="0"/>
            <w:vAlign w:val="center"/>
          </w:tcPr>
          <w:p>
            <w:pPr>
              <w:jc w:val="center"/>
              <w:rPr>
                <w:b/>
                <w:bCs/>
                <w:color w:val="000000"/>
                <w:sz w:val="24"/>
                <w:szCs w:val="24"/>
              </w:rPr>
            </w:pPr>
            <w:r>
              <w:rPr>
                <w:rFonts w:hint="eastAsia"/>
                <w:b/>
                <w:bCs/>
                <w:color w:val="000000"/>
                <w:sz w:val="24"/>
                <w:szCs w:val="24"/>
              </w:rPr>
              <w:t>指标权重20%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3.1</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观众反馈</w:t>
            </w:r>
          </w:p>
        </w:tc>
        <w:tc>
          <w:tcPr>
            <w:tcW w:w="1781" w:type="dxa"/>
            <w:gridSpan w:val="3"/>
            <w:noWrap w:val="0"/>
            <w:vAlign w:val="center"/>
          </w:tcPr>
          <w:p>
            <w:pPr>
              <w:jc w:val="center"/>
              <w:rPr>
                <w:color w:val="000000"/>
                <w:sz w:val="24"/>
                <w:szCs w:val="24"/>
              </w:rPr>
            </w:pPr>
            <w:r>
              <w:rPr>
                <w:rFonts w:hint="eastAsia"/>
                <w:color w:val="000000"/>
                <w:sz w:val="24"/>
                <w:szCs w:val="24"/>
              </w:rPr>
              <w:t>指标权重12%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3.1.1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观众结构</w:t>
            </w:r>
          </w:p>
        </w:tc>
        <w:tc>
          <w:tcPr>
            <w:tcW w:w="600" w:type="dxa"/>
            <w:noWrap w:val="0"/>
            <w:vAlign w:val="center"/>
          </w:tcPr>
          <w:p>
            <w:pPr>
              <w:jc w:val="center"/>
              <w:rPr>
                <w:color w:val="000000"/>
                <w:sz w:val="24"/>
                <w:szCs w:val="24"/>
              </w:rPr>
            </w:pPr>
            <w:r>
              <w:rPr>
                <w:rFonts w:hint="eastAsia"/>
                <w:color w:val="000000"/>
                <w:sz w:val="24"/>
                <w:szCs w:val="24"/>
              </w:rPr>
              <w:t>50</w:t>
            </w:r>
          </w:p>
        </w:tc>
        <w:tc>
          <w:tcPr>
            <w:tcW w:w="636" w:type="dxa"/>
            <w:noWrap w:val="0"/>
            <w:vAlign w:val="center"/>
          </w:tcPr>
          <w:p>
            <w:pPr>
              <w:jc w:val="center"/>
              <w:rPr>
                <w:color w:val="000000"/>
                <w:sz w:val="24"/>
                <w:szCs w:val="24"/>
              </w:rPr>
            </w:pPr>
            <w:r>
              <w:rPr>
                <w:rFonts w:hint="eastAsia"/>
                <w:color w:val="000000"/>
                <w:sz w:val="24"/>
                <w:szCs w:val="24"/>
              </w:rPr>
              <w:t>43</w:t>
            </w:r>
          </w:p>
        </w:tc>
        <w:tc>
          <w:tcPr>
            <w:tcW w:w="545" w:type="dxa"/>
            <w:noWrap w:val="0"/>
            <w:vAlign w:val="center"/>
          </w:tcPr>
          <w:p>
            <w:pPr>
              <w:jc w:val="center"/>
              <w:rPr>
                <w:color w:val="000000"/>
                <w:sz w:val="24"/>
                <w:szCs w:val="24"/>
              </w:rPr>
            </w:pPr>
            <w:r>
              <w:rPr>
                <w:rFonts w:hint="eastAsia"/>
                <w:color w:val="000000"/>
                <w:sz w:val="24"/>
                <w:szCs w:val="24"/>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博物馆年均接待观众数量规模与博物馆接待能力相适应情况</w:t>
            </w:r>
          </w:p>
        </w:tc>
        <w:tc>
          <w:tcPr>
            <w:tcW w:w="600" w:type="dxa"/>
            <w:noWrap w:val="0"/>
            <w:vAlign w:val="center"/>
          </w:tcPr>
          <w:p>
            <w:pPr>
              <w:jc w:val="center"/>
              <w:rPr>
                <w:color w:val="000000"/>
                <w:sz w:val="24"/>
                <w:szCs w:val="24"/>
              </w:rPr>
            </w:pPr>
            <w:r>
              <w:rPr>
                <w:rFonts w:hint="eastAsia"/>
                <w:color w:val="000000"/>
                <w:sz w:val="24"/>
                <w:szCs w:val="24"/>
              </w:rPr>
              <w:t>25</w:t>
            </w:r>
          </w:p>
        </w:tc>
        <w:tc>
          <w:tcPr>
            <w:tcW w:w="636" w:type="dxa"/>
            <w:noWrap w:val="0"/>
            <w:vAlign w:val="center"/>
          </w:tcPr>
          <w:p>
            <w:pPr>
              <w:jc w:val="center"/>
              <w:rPr>
                <w:color w:val="000000"/>
                <w:sz w:val="24"/>
                <w:szCs w:val="24"/>
              </w:rPr>
            </w:pPr>
            <w:r>
              <w:rPr>
                <w:rFonts w:hint="eastAsia"/>
                <w:color w:val="000000"/>
                <w:sz w:val="24"/>
                <w:szCs w:val="24"/>
              </w:rPr>
              <w:t>22</w:t>
            </w:r>
          </w:p>
        </w:tc>
        <w:tc>
          <w:tcPr>
            <w:tcW w:w="545" w:type="dxa"/>
            <w:noWrap w:val="0"/>
            <w:vAlign w:val="center"/>
          </w:tcPr>
          <w:p>
            <w:pPr>
              <w:jc w:val="center"/>
              <w:rPr>
                <w:color w:val="000000"/>
                <w:sz w:val="24"/>
                <w:szCs w:val="24"/>
              </w:rPr>
            </w:pPr>
            <w:r>
              <w:rPr>
                <w:rFonts w:hint="eastAsia"/>
                <w:color w:val="000000"/>
                <w:sz w:val="24"/>
                <w:szCs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博物馆观众构成与博物馆文化主题相适应情况</w:t>
            </w:r>
          </w:p>
        </w:tc>
        <w:tc>
          <w:tcPr>
            <w:tcW w:w="600" w:type="dxa"/>
            <w:noWrap w:val="0"/>
            <w:vAlign w:val="center"/>
          </w:tcPr>
          <w:p>
            <w:pPr>
              <w:jc w:val="center"/>
              <w:rPr>
                <w:color w:val="000000"/>
                <w:sz w:val="24"/>
                <w:szCs w:val="24"/>
              </w:rPr>
            </w:pPr>
            <w:r>
              <w:rPr>
                <w:rFonts w:hint="eastAsia"/>
                <w:color w:val="000000"/>
                <w:sz w:val="24"/>
                <w:szCs w:val="24"/>
              </w:rPr>
              <w:t>25</w:t>
            </w:r>
          </w:p>
        </w:tc>
        <w:tc>
          <w:tcPr>
            <w:tcW w:w="636" w:type="dxa"/>
            <w:noWrap w:val="0"/>
            <w:vAlign w:val="center"/>
          </w:tcPr>
          <w:p>
            <w:pPr>
              <w:jc w:val="center"/>
              <w:rPr>
                <w:color w:val="000000"/>
                <w:sz w:val="24"/>
                <w:szCs w:val="24"/>
              </w:rPr>
            </w:pPr>
            <w:r>
              <w:rPr>
                <w:rFonts w:hint="eastAsia"/>
                <w:color w:val="000000"/>
                <w:sz w:val="24"/>
                <w:szCs w:val="24"/>
              </w:rPr>
              <w:t>21</w:t>
            </w:r>
          </w:p>
        </w:tc>
        <w:tc>
          <w:tcPr>
            <w:tcW w:w="545" w:type="dxa"/>
            <w:noWrap w:val="0"/>
            <w:vAlign w:val="center"/>
          </w:tcPr>
          <w:p>
            <w:pPr>
              <w:jc w:val="center"/>
              <w:rPr>
                <w:color w:val="000000"/>
                <w:sz w:val="24"/>
                <w:szCs w:val="24"/>
              </w:rPr>
            </w:pPr>
            <w:r>
              <w:rPr>
                <w:rFonts w:hint="eastAsia"/>
                <w:color w:val="00000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3.1.2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观众满意度</w:t>
            </w:r>
          </w:p>
        </w:tc>
        <w:tc>
          <w:tcPr>
            <w:tcW w:w="600" w:type="dxa"/>
            <w:noWrap w:val="0"/>
            <w:vAlign w:val="center"/>
          </w:tcPr>
          <w:p>
            <w:pPr>
              <w:jc w:val="center"/>
              <w:rPr>
                <w:color w:val="000000"/>
                <w:sz w:val="24"/>
                <w:szCs w:val="24"/>
              </w:rPr>
            </w:pPr>
            <w:r>
              <w:rPr>
                <w:rFonts w:hint="eastAsia"/>
                <w:color w:val="000000"/>
                <w:sz w:val="24"/>
                <w:szCs w:val="24"/>
              </w:rPr>
              <w:t>50</w:t>
            </w:r>
          </w:p>
        </w:tc>
        <w:tc>
          <w:tcPr>
            <w:tcW w:w="636" w:type="dxa"/>
            <w:noWrap w:val="0"/>
            <w:vAlign w:val="center"/>
          </w:tcPr>
          <w:p>
            <w:pPr>
              <w:jc w:val="center"/>
              <w:rPr>
                <w:color w:val="000000"/>
                <w:sz w:val="24"/>
                <w:szCs w:val="24"/>
              </w:rPr>
            </w:pPr>
            <w:r>
              <w:rPr>
                <w:rFonts w:hint="eastAsia"/>
                <w:color w:val="000000"/>
                <w:sz w:val="24"/>
                <w:szCs w:val="24"/>
              </w:rPr>
              <w:t>57</w:t>
            </w:r>
          </w:p>
        </w:tc>
        <w:tc>
          <w:tcPr>
            <w:tcW w:w="545" w:type="dxa"/>
            <w:noWrap w:val="0"/>
            <w:vAlign w:val="center"/>
          </w:tcPr>
          <w:p>
            <w:pPr>
              <w:jc w:val="center"/>
              <w:rPr>
                <w:color w:val="000000"/>
                <w:sz w:val="24"/>
                <w:szCs w:val="24"/>
              </w:rPr>
            </w:pPr>
            <w:r>
              <w:rPr>
                <w:rFonts w:hint="eastAsia"/>
                <w:color w:val="000000"/>
                <w:sz w:val="24"/>
                <w:szCs w:val="24"/>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博物馆观众调查制度建设与调查工作开展情况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近期观众调查反映的观众调查满意度情况</w:t>
            </w:r>
          </w:p>
        </w:tc>
        <w:tc>
          <w:tcPr>
            <w:tcW w:w="600" w:type="dxa"/>
            <w:noWrap w:val="0"/>
            <w:vAlign w:val="center"/>
          </w:tcPr>
          <w:p>
            <w:pPr>
              <w:jc w:val="center"/>
              <w:rPr>
                <w:color w:val="000000"/>
                <w:sz w:val="24"/>
                <w:szCs w:val="24"/>
              </w:rPr>
            </w:pPr>
            <w:r>
              <w:rPr>
                <w:rFonts w:hint="eastAsia"/>
                <w:color w:val="000000"/>
                <w:sz w:val="24"/>
                <w:szCs w:val="24"/>
              </w:rPr>
              <w:t>22</w:t>
            </w:r>
          </w:p>
        </w:tc>
        <w:tc>
          <w:tcPr>
            <w:tcW w:w="636" w:type="dxa"/>
            <w:noWrap w:val="0"/>
            <w:vAlign w:val="center"/>
          </w:tcPr>
          <w:p>
            <w:pPr>
              <w:jc w:val="center"/>
              <w:rPr>
                <w:color w:val="000000"/>
                <w:sz w:val="24"/>
                <w:szCs w:val="24"/>
              </w:rPr>
            </w:pPr>
            <w:r>
              <w:rPr>
                <w:rFonts w:hint="eastAsia"/>
                <w:color w:val="000000"/>
                <w:sz w:val="24"/>
                <w:szCs w:val="24"/>
              </w:rPr>
              <w:t>29</w:t>
            </w:r>
          </w:p>
        </w:tc>
        <w:tc>
          <w:tcPr>
            <w:tcW w:w="545" w:type="dxa"/>
            <w:noWrap w:val="0"/>
            <w:vAlign w:val="center"/>
          </w:tcPr>
          <w:p>
            <w:pPr>
              <w:jc w:val="center"/>
              <w:rPr>
                <w:color w:val="000000"/>
                <w:sz w:val="24"/>
                <w:szCs w:val="24"/>
              </w:rPr>
            </w:pPr>
            <w:r>
              <w:rPr>
                <w:rFonts w:hint="eastAsia"/>
                <w:color w:val="000000"/>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观众对博物馆的展览、环境、服务等方面</w:t>
            </w:r>
            <w:r>
              <w:rPr>
                <w:rFonts w:hint="eastAsia"/>
                <w:color w:val="000000"/>
                <w:sz w:val="24"/>
                <w:szCs w:val="24"/>
                <w:lang w:eastAsia="zh-CN"/>
              </w:rPr>
              <w:t>作</w:t>
            </w:r>
            <w:r>
              <w:rPr>
                <w:rFonts w:hint="eastAsia"/>
                <w:color w:val="000000"/>
                <w:sz w:val="24"/>
                <w:szCs w:val="24"/>
              </w:rPr>
              <w:t>出的总体评价</w:t>
            </w:r>
          </w:p>
        </w:tc>
        <w:tc>
          <w:tcPr>
            <w:tcW w:w="600" w:type="dxa"/>
            <w:noWrap w:val="0"/>
            <w:vAlign w:val="center"/>
          </w:tcPr>
          <w:p>
            <w:pPr>
              <w:jc w:val="center"/>
              <w:rPr>
                <w:color w:val="000000"/>
                <w:sz w:val="24"/>
                <w:szCs w:val="24"/>
              </w:rPr>
            </w:pPr>
            <w:r>
              <w:rPr>
                <w:rFonts w:hint="eastAsia"/>
                <w:color w:val="000000"/>
                <w:sz w:val="24"/>
                <w:szCs w:val="24"/>
              </w:rPr>
              <w:t>18</w:t>
            </w:r>
          </w:p>
        </w:tc>
        <w:tc>
          <w:tcPr>
            <w:tcW w:w="636" w:type="dxa"/>
            <w:noWrap w:val="0"/>
            <w:vAlign w:val="center"/>
          </w:tcPr>
          <w:p>
            <w:pPr>
              <w:jc w:val="center"/>
              <w:rPr>
                <w:color w:val="000000"/>
                <w:sz w:val="24"/>
                <w:szCs w:val="24"/>
              </w:rPr>
            </w:pPr>
            <w:r>
              <w:rPr>
                <w:rFonts w:hint="eastAsia"/>
                <w:color w:val="000000"/>
                <w:sz w:val="24"/>
                <w:szCs w:val="24"/>
              </w:rPr>
              <w:t>19</w:t>
            </w:r>
          </w:p>
        </w:tc>
        <w:tc>
          <w:tcPr>
            <w:tcW w:w="545" w:type="dxa"/>
            <w:noWrap w:val="0"/>
            <w:vAlign w:val="center"/>
          </w:tcPr>
          <w:p>
            <w:pPr>
              <w:jc w:val="center"/>
              <w:rPr>
                <w:color w:val="000000"/>
                <w:sz w:val="24"/>
                <w:szCs w:val="24"/>
              </w:rPr>
            </w:pPr>
            <w:r>
              <w:rPr>
                <w:rFonts w:hint="eastAsia"/>
                <w:color w:val="000000"/>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年度观众总数（基础分：10000人次/分）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临时展览参观人数（基础分：10000人次/分）</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20</w:t>
            </w:r>
          </w:p>
        </w:tc>
        <w:tc>
          <w:tcPr>
            <w:tcW w:w="545" w:type="dxa"/>
            <w:noWrap w:val="0"/>
            <w:vAlign w:val="center"/>
          </w:tcPr>
          <w:p>
            <w:pPr>
              <w:jc w:val="center"/>
              <w:rPr>
                <w:color w:val="000000"/>
                <w:sz w:val="24"/>
                <w:szCs w:val="24"/>
              </w:rPr>
            </w:pPr>
            <w:r>
              <w:rPr>
                <w:rFonts w:hint="eastAsia"/>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未成年观众人数（基础分：10000人次/分）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国（境）外观众人数（基础分：10000人次/分）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免费参观人数（基础分：10000人次/分）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ascii="宋体" w:hAnsi="宋体"/>
                <w:color w:val="000000"/>
                <w:kern w:val="0"/>
                <w:sz w:val="24"/>
                <w:szCs w:val="24"/>
              </w:rPr>
              <w:t>受控参观人数</w:t>
            </w:r>
            <w:r>
              <w:rPr>
                <w:rFonts w:hint="eastAsia"/>
                <w:color w:val="000000"/>
                <w:sz w:val="24"/>
                <w:szCs w:val="24"/>
              </w:rPr>
              <w:t>（基础分：10000人次/分）</w:t>
            </w:r>
          </w:p>
        </w:tc>
        <w:tc>
          <w:tcPr>
            <w:tcW w:w="600" w:type="dxa"/>
            <w:noWrap w:val="0"/>
            <w:vAlign w:val="center"/>
          </w:tcPr>
          <w:p>
            <w:pPr>
              <w:jc w:val="center"/>
              <w:rPr>
                <w:color w:val="000000"/>
                <w:sz w:val="24"/>
                <w:szCs w:val="24"/>
              </w:rPr>
            </w:pPr>
            <w:r>
              <w:rPr>
                <w:rFonts w:hint="eastAsia"/>
                <w:color w:val="000000"/>
                <w:sz w:val="24"/>
                <w:szCs w:val="24"/>
              </w:rPr>
              <w:t>15</w:t>
            </w:r>
          </w:p>
        </w:tc>
        <w:tc>
          <w:tcPr>
            <w:tcW w:w="636" w:type="dxa"/>
            <w:noWrap w:val="0"/>
            <w:vAlign w:val="center"/>
          </w:tcPr>
          <w:p>
            <w:pPr>
              <w:jc w:val="center"/>
              <w:rPr>
                <w:color w:val="000000"/>
                <w:sz w:val="24"/>
                <w:szCs w:val="24"/>
              </w:rPr>
            </w:pPr>
            <w:r>
              <w:rPr>
                <w:rFonts w:hint="eastAsia"/>
                <w:color w:val="000000"/>
                <w:sz w:val="24"/>
                <w:szCs w:val="24"/>
              </w:rPr>
              <w:t>15</w:t>
            </w:r>
          </w:p>
        </w:tc>
        <w:tc>
          <w:tcPr>
            <w:tcW w:w="545" w:type="dxa"/>
            <w:noWrap w:val="0"/>
            <w:vAlign w:val="center"/>
          </w:tcPr>
          <w:p>
            <w:pPr>
              <w:jc w:val="center"/>
              <w:rPr>
                <w:color w:val="000000"/>
                <w:sz w:val="24"/>
                <w:szCs w:val="24"/>
              </w:rPr>
            </w:pPr>
            <w:r>
              <w:rPr>
                <w:rFonts w:hint="eastAsia"/>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3.2</w:t>
            </w:r>
          </w:p>
        </w:tc>
        <w:tc>
          <w:tcPr>
            <w:tcW w:w="1230" w:type="dxa"/>
            <w:noWrap w:val="0"/>
            <w:vAlign w:val="center"/>
          </w:tcPr>
          <w:p>
            <w:pPr>
              <w:jc w:val="center"/>
              <w:rPr>
                <w:color w:val="000000"/>
                <w:sz w:val="24"/>
                <w:szCs w:val="24"/>
              </w:rPr>
            </w:pPr>
            <w:r>
              <w:rPr>
                <w:rFonts w:hint="eastAsia"/>
                <w:color w:val="000000"/>
                <w:sz w:val="24"/>
                <w:szCs w:val="24"/>
              </w:rPr>
              <w:t>二级指标</w:t>
            </w:r>
          </w:p>
        </w:tc>
        <w:tc>
          <w:tcPr>
            <w:tcW w:w="4644" w:type="dxa"/>
            <w:noWrap w:val="0"/>
            <w:vAlign w:val="center"/>
          </w:tcPr>
          <w:p>
            <w:pPr>
              <w:jc w:val="left"/>
              <w:rPr>
                <w:color w:val="000000"/>
                <w:sz w:val="24"/>
                <w:szCs w:val="24"/>
              </w:rPr>
            </w:pPr>
            <w:r>
              <w:rPr>
                <w:rFonts w:hint="eastAsia"/>
                <w:color w:val="000000"/>
                <w:sz w:val="24"/>
                <w:szCs w:val="24"/>
              </w:rPr>
              <w:t>社会影响</w:t>
            </w:r>
          </w:p>
        </w:tc>
        <w:tc>
          <w:tcPr>
            <w:tcW w:w="1781" w:type="dxa"/>
            <w:gridSpan w:val="3"/>
            <w:noWrap w:val="0"/>
            <w:vAlign w:val="center"/>
          </w:tcPr>
          <w:p>
            <w:pPr>
              <w:jc w:val="center"/>
              <w:rPr>
                <w:color w:val="000000"/>
                <w:sz w:val="24"/>
                <w:szCs w:val="24"/>
              </w:rPr>
            </w:pPr>
            <w:r>
              <w:rPr>
                <w:rFonts w:hint="eastAsia"/>
                <w:color w:val="000000"/>
                <w:sz w:val="24"/>
                <w:szCs w:val="24"/>
              </w:rPr>
              <w:t>指标权重8%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定性评估指标（原始分100分）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3.2.1</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社会关注度</w:t>
            </w:r>
          </w:p>
        </w:tc>
        <w:tc>
          <w:tcPr>
            <w:tcW w:w="600" w:type="dxa"/>
            <w:noWrap w:val="0"/>
            <w:vAlign w:val="center"/>
          </w:tcPr>
          <w:p>
            <w:pPr>
              <w:jc w:val="center"/>
              <w:rPr>
                <w:color w:val="000000"/>
                <w:sz w:val="24"/>
                <w:szCs w:val="24"/>
              </w:rPr>
            </w:pPr>
            <w:r>
              <w:rPr>
                <w:rFonts w:hint="eastAsia"/>
                <w:color w:val="000000"/>
                <w:sz w:val="24"/>
                <w:szCs w:val="24"/>
              </w:rPr>
              <w:t>60</w:t>
            </w:r>
          </w:p>
        </w:tc>
        <w:tc>
          <w:tcPr>
            <w:tcW w:w="636" w:type="dxa"/>
            <w:noWrap w:val="0"/>
            <w:vAlign w:val="center"/>
          </w:tcPr>
          <w:p>
            <w:pPr>
              <w:jc w:val="center"/>
              <w:rPr>
                <w:color w:val="000000"/>
                <w:sz w:val="24"/>
                <w:szCs w:val="24"/>
              </w:rPr>
            </w:pPr>
            <w:r>
              <w:rPr>
                <w:rFonts w:hint="eastAsia"/>
                <w:color w:val="000000"/>
                <w:sz w:val="24"/>
                <w:szCs w:val="24"/>
              </w:rPr>
              <w:t>50</w:t>
            </w:r>
          </w:p>
        </w:tc>
        <w:tc>
          <w:tcPr>
            <w:tcW w:w="545" w:type="dxa"/>
            <w:noWrap w:val="0"/>
            <w:vAlign w:val="center"/>
          </w:tcPr>
          <w:p>
            <w:pPr>
              <w:jc w:val="center"/>
              <w:rPr>
                <w:color w:val="000000"/>
                <w:sz w:val="24"/>
                <w:szCs w:val="24"/>
              </w:rPr>
            </w:pPr>
            <w:r>
              <w:rPr>
                <w:rFonts w:hint="eastAsia"/>
                <w:color w:val="00000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互联网公开数据显示的博物馆公众关注程度情况</w:t>
            </w:r>
          </w:p>
        </w:tc>
        <w:tc>
          <w:tcPr>
            <w:tcW w:w="600" w:type="dxa"/>
            <w:noWrap w:val="0"/>
            <w:vAlign w:val="center"/>
          </w:tcPr>
          <w:p>
            <w:pPr>
              <w:jc w:val="center"/>
              <w:rPr>
                <w:color w:val="000000"/>
                <w:sz w:val="24"/>
                <w:szCs w:val="24"/>
              </w:rPr>
            </w:pPr>
            <w:r>
              <w:rPr>
                <w:rFonts w:hint="eastAsia"/>
                <w:color w:val="000000"/>
                <w:sz w:val="24"/>
                <w:szCs w:val="24"/>
              </w:rPr>
              <w:t>30</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互联网公开数据显示的博物馆媒体关注程度情况</w:t>
            </w:r>
          </w:p>
        </w:tc>
        <w:tc>
          <w:tcPr>
            <w:tcW w:w="600" w:type="dxa"/>
            <w:noWrap w:val="0"/>
            <w:vAlign w:val="center"/>
          </w:tcPr>
          <w:p>
            <w:pPr>
              <w:jc w:val="center"/>
              <w:rPr>
                <w:color w:val="000000"/>
                <w:sz w:val="24"/>
                <w:szCs w:val="24"/>
              </w:rPr>
            </w:pPr>
            <w:r>
              <w:rPr>
                <w:rFonts w:hint="eastAsia"/>
                <w:color w:val="000000"/>
                <w:sz w:val="24"/>
                <w:szCs w:val="24"/>
              </w:rPr>
              <w:t>30</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3.2.2</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奖励与荣誉</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评估周期内，党委、政府或社会组织授予博物馆的组织荣誉与奖励情况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13</w:t>
            </w:r>
          </w:p>
        </w:tc>
        <w:tc>
          <w:tcPr>
            <w:tcW w:w="545" w:type="dxa"/>
            <w:noWrap w:val="0"/>
            <w:vAlign w:val="center"/>
          </w:tcPr>
          <w:p>
            <w:pPr>
              <w:jc w:val="center"/>
              <w:rPr>
                <w:color w:val="000000"/>
                <w:sz w:val="24"/>
                <w:szCs w:val="24"/>
              </w:rPr>
            </w:pPr>
            <w:r>
              <w:rPr>
                <w:rFonts w:hint="eastAsia"/>
                <w:color w:val="00000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评估周期内，党委、政府或社会组织授予博物馆员工的个人荣誉与奖励情况</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12</w:t>
            </w:r>
          </w:p>
        </w:tc>
        <w:tc>
          <w:tcPr>
            <w:tcW w:w="545" w:type="dxa"/>
            <w:noWrap w:val="0"/>
            <w:vAlign w:val="center"/>
          </w:tcPr>
          <w:p>
            <w:pPr>
              <w:jc w:val="center"/>
              <w:rPr>
                <w:color w:val="000000"/>
                <w:sz w:val="24"/>
                <w:szCs w:val="24"/>
              </w:rPr>
            </w:pPr>
            <w:r>
              <w:rPr>
                <w:rFonts w:hint="eastAsia"/>
                <w:color w:val="00000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3.2.3</w:t>
            </w:r>
          </w:p>
        </w:tc>
        <w:tc>
          <w:tcPr>
            <w:tcW w:w="1230" w:type="dxa"/>
            <w:noWrap w:val="0"/>
            <w:vAlign w:val="center"/>
          </w:tcPr>
          <w:p>
            <w:pPr>
              <w:jc w:val="center"/>
              <w:rPr>
                <w:color w:val="000000"/>
                <w:sz w:val="24"/>
                <w:szCs w:val="24"/>
              </w:rPr>
            </w:pPr>
            <w:r>
              <w:rPr>
                <w:rFonts w:hint="eastAsia"/>
                <w:color w:val="000000"/>
                <w:sz w:val="24"/>
                <w:szCs w:val="24"/>
              </w:rPr>
              <w:t>三级指标</w:t>
            </w:r>
          </w:p>
        </w:tc>
        <w:tc>
          <w:tcPr>
            <w:tcW w:w="4644" w:type="dxa"/>
            <w:noWrap w:val="0"/>
            <w:vAlign w:val="center"/>
          </w:tcPr>
          <w:p>
            <w:pPr>
              <w:jc w:val="left"/>
              <w:rPr>
                <w:color w:val="000000"/>
                <w:sz w:val="24"/>
                <w:szCs w:val="24"/>
              </w:rPr>
            </w:pPr>
            <w:r>
              <w:rPr>
                <w:rFonts w:hint="eastAsia"/>
                <w:color w:val="000000"/>
                <w:sz w:val="24"/>
                <w:szCs w:val="24"/>
              </w:rPr>
              <w:t>公众参与</w:t>
            </w:r>
          </w:p>
        </w:tc>
        <w:tc>
          <w:tcPr>
            <w:tcW w:w="600" w:type="dxa"/>
            <w:noWrap w:val="0"/>
            <w:vAlign w:val="center"/>
          </w:tcPr>
          <w:p>
            <w:pPr>
              <w:jc w:val="center"/>
              <w:rPr>
                <w:color w:val="000000"/>
                <w:sz w:val="24"/>
                <w:szCs w:val="24"/>
              </w:rPr>
            </w:pPr>
            <w:r>
              <w:rPr>
                <w:rFonts w:hint="eastAsia"/>
                <w:color w:val="000000"/>
                <w:sz w:val="24"/>
                <w:szCs w:val="24"/>
              </w:rPr>
              <w:t>20</w:t>
            </w:r>
          </w:p>
        </w:tc>
        <w:tc>
          <w:tcPr>
            <w:tcW w:w="636" w:type="dxa"/>
            <w:noWrap w:val="0"/>
            <w:vAlign w:val="center"/>
          </w:tcPr>
          <w:p>
            <w:pPr>
              <w:jc w:val="center"/>
              <w:rPr>
                <w:color w:val="000000"/>
                <w:sz w:val="24"/>
                <w:szCs w:val="24"/>
              </w:rPr>
            </w:pPr>
            <w:r>
              <w:rPr>
                <w:rFonts w:hint="eastAsia"/>
                <w:color w:val="000000"/>
                <w:sz w:val="24"/>
                <w:szCs w:val="24"/>
              </w:rPr>
              <w:t>25</w:t>
            </w:r>
          </w:p>
        </w:tc>
        <w:tc>
          <w:tcPr>
            <w:tcW w:w="545" w:type="dxa"/>
            <w:noWrap w:val="0"/>
            <w:vAlign w:val="center"/>
          </w:tcPr>
          <w:p>
            <w:pPr>
              <w:jc w:val="center"/>
              <w:rPr>
                <w:color w:val="000000"/>
                <w:sz w:val="24"/>
                <w:szCs w:val="24"/>
              </w:rPr>
            </w:pPr>
            <w:r>
              <w:rPr>
                <w:rFonts w:hint="eastAsia"/>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“博物馆之友”活动组织开展情况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9</w:t>
            </w:r>
          </w:p>
        </w:tc>
        <w:tc>
          <w:tcPr>
            <w:tcW w:w="545" w:type="dxa"/>
            <w:noWrap w:val="0"/>
            <w:vAlign w:val="center"/>
          </w:tcPr>
          <w:p>
            <w:pPr>
              <w:jc w:val="center"/>
              <w:rPr>
                <w:color w:val="000000"/>
                <w:sz w:val="24"/>
                <w:szCs w:val="24"/>
              </w:rPr>
            </w:pPr>
            <w:r>
              <w:rPr>
                <w:rFonts w:hint="eastAsia"/>
                <w:color w:val="00000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博物馆志愿者组织建设与服务工作情况</w:t>
            </w:r>
          </w:p>
        </w:tc>
        <w:tc>
          <w:tcPr>
            <w:tcW w:w="600" w:type="dxa"/>
            <w:noWrap w:val="0"/>
            <w:vAlign w:val="center"/>
          </w:tcPr>
          <w:p>
            <w:pPr>
              <w:jc w:val="center"/>
              <w:rPr>
                <w:color w:val="000000"/>
                <w:sz w:val="24"/>
                <w:szCs w:val="24"/>
              </w:rPr>
            </w:pPr>
            <w:r>
              <w:rPr>
                <w:rFonts w:hint="eastAsia"/>
                <w:color w:val="000000"/>
                <w:sz w:val="24"/>
                <w:szCs w:val="24"/>
              </w:rPr>
              <w:t>7</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博物馆接受社会捐助情况</w:t>
            </w:r>
          </w:p>
        </w:tc>
        <w:tc>
          <w:tcPr>
            <w:tcW w:w="600" w:type="dxa"/>
            <w:noWrap w:val="0"/>
            <w:vAlign w:val="center"/>
          </w:tcPr>
          <w:p>
            <w:pPr>
              <w:jc w:val="center"/>
              <w:rPr>
                <w:color w:val="000000"/>
                <w:sz w:val="24"/>
                <w:szCs w:val="24"/>
              </w:rPr>
            </w:pPr>
            <w:r>
              <w:rPr>
                <w:rFonts w:hint="eastAsia"/>
                <w:color w:val="000000"/>
                <w:sz w:val="24"/>
                <w:szCs w:val="24"/>
              </w:rPr>
              <w:t>6</w:t>
            </w:r>
          </w:p>
        </w:tc>
        <w:tc>
          <w:tcPr>
            <w:tcW w:w="636" w:type="dxa"/>
            <w:noWrap w:val="0"/>
            <w:vAlign w:val="center"/>
          </w:tcPr>
          <w:p>
            <w:pPr>
              <w:jc w:val="center"/>
              <w:rPr>
                <w:color w:val="000000"/>
                <w:sz w:val="24"/>
                <w:szCs w:val="24"/>
              </w:rPr>
            </w:pPr>
            <w:r>
              <w:rPr>
                <w:rFonts w:hint="eastAsia"/>
                <w:color w:val="000000"/>
                <w:sz w:val="24"/>
                <w:szCs w:val="24"/>
              </w:rPr>
              <w:t>8</w:t>
            </w:r>
          </w:p>
        </w:tc>
        <w:tc>
          <w:tcPr>
            <w:tcW w:w="545" w:type="dxa"/>
            <w:noWrap w:val="0"/>
            <w:vAlign w:val="center"/>
          </w:tcPr>
          <w:p>
            <w:pPr>
              <w:jc w:val="center"/>
              <w:rPr>
                <w:color w:val="000000"/>
                <w:sz w:val="24"/>
                <w:szCs w:val="24"/>
              </w:rPr>
            </w:pPr>
            <w:r>
              <w:rPr>
                <w:rFonts w:hint="eastAsia"/>
                <w:color w:val="00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center"/>
          </w:tcPr>
          <w:p>
            <w:pPr>
              <w:jc w:val="center"/>
              <w:rPr>
                <w:color w:val="000000"/>
                <w:sz w:val="24"/>
                <w:szCs w:val="24"/>
              </w:rPr>
            </w:pPr>
            <w:r>
              <w:rPr>
                <w:rFonts w:hint="eastAsia"/>
                <w:color w:val="000000"/>
                <w:sz w:val="24"/>
                <w:szCs w:val="24"/>
              </w:rPr>
              <w:t>定量评估指标（原始分100分）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网站综合浏览量（基础分：10000次/分）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新媒体关注量（基础分：1000人/分）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新媒体访问量（基础分：10000次/分）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主流媒体报道次数（基础分：1次/分）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部（省）级集体奖励（基础分：1项/分）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部（省）级个人奖励（基础分：1项/分）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其他集体奖励（基础分：1项/分）</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其他个人奖励（基础分：1项/分）</w:t>
            </w:r>
          </w:p>
        </w:tc>
        <w:tc>
          <w:tcPr>
            <w:tcW w:w="600" w:type="dxa"/>
            <w:noWrap w:val="0"/>
            <w:vAlign w:val="center"/>
          </w:tcPr>
          <w:p>
            <w:pPr>
              <w:jc w:val="center"/>
              <w:rPr>
                <w:color w:val="000000"/>
                <w:sz w:val="24"/>
                <w:szCs w:val="24"/>
              </w:rPr>
            </w:pPr>
            <w:r>
              <w:rPr>
                <w:rFonts w:hint="eastAsia"/>
                <w:color w:val="000000"/>
                <w:sz w:val="24"/>
                <w:szCs w:val="24"/>
              </w:rPr>
              <w:t>5</w:t>
            </w:r>
          </w:p>
        </w:tc>
        <w:tc>
          <w:tcPr>
            <w:tcW w:w="636" w:type="dxa"/>
            <w:noWrap w:val="0"/>
            <w:vAlign w:val="center"/>
          </w:tcPr>
          <w:p>
            <w:pPr>
              <w:jc w:val="center"/>
              <w:rPr>
                <w:color w:val="000000"/>
                <w:sz w:val="24"/>
                <w:szCs w:val="24"/>
              </w:rPr>
            </w:pPr>
            <w:r>
              <w:rPr>
                <w:rFonts w:hint="eastAsia"/>
                <w:color w:val="000000"/>
                <w:sz w:val="24"/>
                <w:szCs w:val="24"/>
              </w:rPr>
              <w:t>5</w:t>
            </w:r>
          </w:p>
        </w:tc>
        <w:tc>
          <w:tcPr>
            <w:tcW w:w="545" w:type="dxa"/>
            <w:noWrap w:val="0"/>
            <w:vAlign w:val="center"/>
          </w:tcPr>
          <w:p>
            <w:pPr>
              <w:jc w:val="center"/>
              <w:rPr>
                <w:color w:val="000000"/>
                <w:sz w:val="24"/>
                <w:szCs w:val="24"/>
              </w:rPr>
            </w:pPr>
            <w:r>
              <w:rPr>
                <w:rFonts w:hint="eastAsia"/>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接受捐赠次数（基础分：1次/分）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接受捐赠金额（基础分：10000元/分）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志愿者人数（基础分：1人/分）</w:t>
            </w:r>
          </w:p>
        </w:tc>
        <w:tc>
          <w:tcPr>
            <w:tcW w:w="600" w:type="dxa"/>
            <w:noWrap w:val="0"/>
            <w:vAlign w:val="center"/>
          </w:tcPr>
          <w:p>
            <w:pPr>
              <w:jc w:val="center"/>
              <w:rPr>
                <w:color w:val="000000"/>
                <w:sz w:val="24"/>
                <w:szCs w:val="24"/>
              </w:rPr>
            </w:pPr>
            <w:r>
              <w:rPr>
                <w:rFonts w:hint="eastAsia"/>
                <w:color w:val="000000"/>
                <w:sz w:val="24"/>
                <w:szCs w:val="24"/>
              </w:rPr>
              <w:t>10</w:t>
            </w:r>
          </w:p>
        </w:tc>
        <w:tc>
          <w:tcPr>
            <w:tcW w:w="636" w:type="dxa"/>
            <w:noWrap w:val="0"/>
            <w:vAlign w:val="center"/>
          </w:tcPr>
          <w:p>
            <w:pPr>
              <w:jc w:val="center"/>
              <w:rPr>
                <w:color w:val="000000"/>
                <w:sz w:val="24"/>
                <w:szCs w:val="24"/>
              </w:rPr>
            </w:pPr>
            <w:r>
              <w:rPr>
                <w:rFonts w:hint="eastAsia"/>
                <w:color w:val="000000"/>
                <w:sz w:val="24"/>
                <w:szCs w:val="24"/>
              </w:rPr>
              <w:t>10</w:t>
            </w:r>
          </w:p>
        </w:tc>
        <w:tc>
          <w:tcPr>
            <w:tcW w:w="545" w:type="dxa"/>
            <w:noWrap w:val="0"/>
            <w:vAlign w:val="center"/>
          </w:tcPr>
          <w:p>
            <w:pPr>
              <w:jc w:val="center"/>
              <w:rPr>
                <w:color w:val="000000"/>
                <w:sz w:val="24"/>
                <w:szCs w:val="24"/>
              </w:rPr>
            </w:pPr>
            <w:r>
              <w:rPr>
                <w:rFonts w:hint="eastAsia"/>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67" w:type="dxa"/>
            <w:noWrap w:val="0"/>
            <w:vAlign w:val="center"/>
          </w:tcPr>
          <w:p>
            <w:pPr>
              <w:jc w:val="left"/>
              <w:rPr>
                <w:b/>
                <w:bCs/>
                <w:color w:val="000000"/>
                <w:sz w:val="24"/>
                <w:szCs w:val="24"/>
              </w:rPr>
            </w:pPr>
            <w:r>
              <w:rPr>
                <w:rFonts w:hint="eastAsia"/>
                <w:b/>
                <w:bCs/>
                <w:color w:val="000000"/>
                <w:sz w:val="24"/>
                <w:szCs w:val="24"/>
              </w:rPr>
              <w:t>4</w:t>
            </w:r>
          </w:p>
        </w:tc>
        <w:tc>
          <w:tcPr>
            <w:tcW w:w="1230" w:type="dxa"/>
            <w:noWrap w:val="0"/>
            <w:vAlign w:val="center"/>
          </w:tcPr>
          <w:p>
            <w:pPr>
              <w:ind w:firstLine="422"/>
              <w:jc w:val="center"/>
              <w:rPr>
                <w:b/>
                <w:bCs/>
                <w:color w:val="000000"/>
                <w:sz w:val="24"/>
                <w:szCs w:val="24"/>
              </w:rPr>
            </w:pPr>
          </w:p>
        </w:tc>
        <w:tc>
          <w:tcPr>
            <w:tcW w:w="4644" w:type="dxa"/>
            <w:noWrap w:val="0"/>
            <w:vAlign w:val="center"/>
          </w:tcPr>
          <w:p>
            <w:pPr>
              <w:jc w:val="left"/>
              <w:rPr>
                <w:b/>
                <w:bCs/>
                <w:color w:val="000000"/>
                <w:sz w:val="24"/>
                <w:szCs w:val="24"/>
              </w:rPr>
            </w:pPr>
            <w:r>
              <w:rPr>
                <w:rFonts w:hint="eastAsia"/>
                <w:b/>
                <w:bCs/>
                <w:color w:val="000000"/>
                <w:sz w:val="24"/>
                <w:szCs w:val="24"/>
              </w:rPr>
              <w:t>附加项</w:t>
            </w:r>
          </w:p>
        </w:tc>
        <w:tc>
          <w:tcPr>
            <w:tcW w:w="600" w:type="dxa"/>
            <w:noWrap w:val="0"/>
            <w:vAlign w:val="center"/>
          </w:tcPr>
          <w:p>
            <w:pPr>
              <w:ind w:firstLine="422"/>
              <w:jc w:val="left"/>
              <w:rPr>
                <w:b/>
                <w:bCs/>
                <w:color w:val="000000"/>
                <w:sz w:val="24"/>
                <w:szCs w:val="24"/>
              </w:rPr>
            </w:pPr>
          </w:p>
        </w:tc>
        <w:tc>
          <w:tcPr>
            <w:tcW w:w="636" w:type="dxa"/>
            <w:noWrap w:val="0"/>
            <w:vAlign w:val="center"/>
          </w:tcPr>
          <w:p>
            <w:pPr>
              <w:ind w:firstLine="422"/>
              <w:jc w:val="left"/>
              <w:rPr>
                <w:b/>
                <w:bCs/>
                <w:color w:val="000000"/>
                <w:sz w:val="24"/>
                <w:szCs w:val="24"/>
              </w:rPr>
            </w:pPr>
          </w:p>
        </w:tc>
        <w:tc>
          <w:tcPr>
            <w:tcW w:w="545" w:type="dxa"/>
            <w:noWrap w:val="0"/>
            <w:vAlign w:val="center"/>
          </w:tcPr>
          <w:p>
            <w:pPr>
              <w:ind w:firstLine="422"/>
              <w:jc w:val="left"/>
              <w:rPr>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4.1</w:t>
            </w: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特色加分项</w:t>
            </w:r>
          </w:p>
          <w:p>
            <w:pPr>
              <w:jc w:val="left"/>
              <w:rPr>
                <w:color w:val="000000"/>
                <w:sz w:val="24"/>
                <w:szCs w:val="24"/>
              </w:rPr>
            </w:pPr>
            <w:r>
              <w:rPr>
                <w:rFonts w:hint="eastAsia"/>
                <w:color w:val="000000"/>
                <w:sz w:val="24"/>
                <w:szCs w:val="24"/>
              </w:rPr>
              <w:t>（单个特色项目加分不超过3分；参评博物馆累计加分不超过6分，累计附加分后博物馆总得分最高不超过100分。给予特色加分的单位最多不超过参评单位总数的10%）</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博物馆、纪念馆服务国家重大战略、重大文化工程，加强资源整合与协同创新方面开展的特色化、个性化发展创新项目</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博物馆、纪念馆落实中央和国家有关部门关于博物馆改革发展的政策要求，创新体制机制，释放发展活力方面开展的特色化、个性化发展创新项目</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博物馆、纪念馆在弘扬社会主义核心价值观，传承弘扬中华优秀传统文化、继承革命文化和发展社会主义先进文化，推动文物资源创造性转化、创新性发展方面开展的特色化、个性化发展创新项目</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博物馆、纪念馆在开展国际合作，推进文明交流互鉴，向国际社会讲好中国故事、讲好中国共产党的故事，提升中华文化国际传播能力，扩大中华文化国际影响力方面开展的特色化、个性化发展创新项目</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r>
              <w:rPr>
                <w:rFonts w:hint="eastAsia"/>
                <w:color w:val="000000"/>
                <w:sz w:val="24"/>
                <w:szCs w:val="24"/>
              </w:rPr>
              <w:t>4.2</w:t>
            </w: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警示减分项</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评估周期内未有效落实意识形态工作责任制，发生负面舆情或其他意识形态问题（关联指标：安全管理—意识形态安全）发生重大舆情或其他重大意识形态问题的，涉及安全管理二级指标项（6分）不得分</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评估周期内违规收藏有来源不明或者来源不合法的藏品（关联指标：藏品管理—藏品征集）</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lang w:eastAsia="zh-CN"/>
              </w:rPr>
              <w:t>馆藏文物借用或交换</w:t>
            </w:r>
            <w:r>
              <w:rPr>
                <w:rFonts w:hint="eastAsia"/>
                <w:color w:val="000000"/>
                <w:sz w:val="24"/>
                <w:szCs w:val="24"/>
              </w:rPr>
              <w:t>，未依法履行备案或报批程序（关联指标：藏品管理—藏品登录）</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未能依法合规处置文物（关联指标：藏品管理—藏品保管）</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评估周期内发生藏品安全事故（关联指标：藏品管理—藏品保管、安全管理—藏品安全）发生重大安全事故的，涉及藏品管理（10分）和安全管理（6分）两个二级指标项共计16分全部扣除。</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评估周期内发生观众安全责任事故（关联指标：安全管理—公共安全）</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p>
            <w:pPr>
              <w:jc w:val="left"/>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pPr>
              <w:jc w:val="left"/>
              <w:rPr>
                <w:color w:val="000000"/>
                <w:sz w:val="24"/>
                <w:szCs w:val="24"/>
              </w:rPr>
            </w:pPr>
          </w:p>
        </w:tc>
        <w:tc>
          <w:tcPr>
            <w:tcW w:w="1230" w:type="dxa"/>
            <w:noWrap w:val="0"/>
            <w:vAlign w:val="center"/>
          </w:tcPr>
          <w:p>
            <w:pPr>
              <w:jc w:val="center"/>
              <w:rPr>
                <w:color w:val="000000"/>
                <w:sz w:val="24"/>
                <w:szCs w:val="24"/>
              </w:rPr>
            </w:pPr>
          </w:p>
        </w:tc>
        <w:tc>
          <w:tcPr>
            <w:tcW w:w="4644" w:type="dxa"/>
            <w:noWrap w:val="0"/>
            <w:vAlign w:val="center"/>
          </w:tcPr>
          <w:p>
            <w:pPr>
              <w:jc w:val="left"/>
              <w:rPr>
                <w:color w:val="000000"/>
                <w:sz w:val="24"/>
                <w:szCs w:val="24"/>
              </w:rPr>
            </w:pPr>
            <w:r>
              <w:rPr>
                <w:rFonts w:hint="eastAsia"/>
                <w:color w:val="000000"/>
                <w:sz w:val="24"/>
                <w:szCs w:val="24"/>
              </w:rPr>
              <w:t>革命纪念类博物馆及陈列展览内容未履行相关审批手续。（关联指标：安全管理—意识形态安全，其他类型博物馆不作考察）</w:t>
            </w:r>
          </w:p>
        </w:tc>
        <w:tc>
          <w:tcPr>
            <w:tcW w:w="600" w:type="dxa"/>
            <w:noWrap w:val="0"/>
            <w:vAlign w:val="center"/>
          </w:tcPr>
          <w:p>
            <w:pPr>
              <w:jc w:val="left"/>
              <w:rPr>
                <w:color w:val="000000"/>
                <w:sz w:val="24"/>
                <w:szCs w:val="24"/>
              </w:rPr>
            </w:pPr>
          </w:p>
        </w:tc>
        <w:tc>
          <w:tcPr>
            <w:tcW w:w="636" w:type="dxa"/>
            <w:noWrap w:val="0"/>
            <w:vAlign w:val="center"/>
          </w:tcPr>
          <w:p>
            <w:pPr>
              <w:jc w:val="left"/>
              <w:rPr>
                <w:color w:val="000000"/>
                <w:sz w:val="24"/>
                <w:szCs w:val="24"/>
              </w:rPr>
            </w:pPr>
          </w:p>
        </w:tc>
        <w:tc>
          <w:tcPr>
            <w:tcW w:w="545" w:type="dxa"/>
            <w:noWrap w:val="0"/>
            <w:vAlign w:val="center"/>
          </w:tcPr>
          <w:p>
            <w:pPr>
              <w:jc w:val="left"/>
              <w:rPr>
                <w:color w:val="000000"/>
                <w:sz w:val="24"/>
                <w:szCs w:val="24"/>
              </w:rPr>
            </w:pPr>
          </w:p>
        </w:tc>
      </w:tr>
    </w:tbl>
    <w:p>
      <w:pPr>
        <w:jc w:val="center"/>
        <w:rPr>
          <w:rFonts w:ascii="黑体" w:hAnsi="Times New Roman" w:eastAsia="黑体" w:cs="Times New Roman"/>
          <w:color w:val="000000"/>
          <w:kern w:val="0"/>
          <w:sz w:val="28"/>
          <w:szCs w:val="28"/>
        </w:rPr>
      </w:pPr>
      <w:r>
        <w:rPr>
          <w:rFonts w:ascii="黑体" w:hAnsi="Times New Roman" w:eastAsia="黑体" w:cs="Times New Roman"/>
          <w:color w:val="000000"/>
          <w:kern w:val="0"/>
          <w:sz w:val="28"/>
          <w:szCs w:val="28"/>
        </w:rPr>
        <w:br w:type="page"/>
      </w:r>
      <w:r>
        <w:rPr>
          <w:rFonts w:hint="eastAsia" w:ascii="黑体" w:hAnsi="Times New Roman" w:eastAsia="黑体" w:cs="Times New Roman"/>
          <w:color w:val="000000"/>
          <w:kern w:val="0"/>
          <w:sz w:val="28"/>
          <w:szCs w:val="28"/>
        </w:rPr>
        <w:t>附录B</w:t>
      </w:r>
    </w:p>
    <w:p>
      <w:pPr>
        <w:pageBreakBefore w:val="0"/>
        <w:widowControl w:val="0"/>
        <w:kinsoku/>
        <w:wordWrap/>
        <w:overflowPunct/>
        <w:topLinePunct w:val="0"/>
        <w:autoSpaceDE/>
        <w:autoSpaceDN/>
        <w:bidi w:val="0"/>
        <w:adjustRightInd/>
        <w:snapToGrid/>
        <w:spacing w:line="460" w:lineRule="exact"/>
        <w:jc w:val="center"/>
        <w:textAlignment w:val="auto"/>
        <w:rPr>
          <w:rFonts w:ascii="黑体" w:hAnsi="Times New Roman" w:eastAsia="黑体" w:cs="Times New Roman"/>
          <w:color w:val="000000"/>
          <w:kern w:val="0"/>
          <w:sz w:val="28"/>
          <w:szCs w:val="28"/>
        </w:rPr>
      </w:pPr>
      <w:r>
        <w:rPr>
          <w:rFonts w:hint="eastAsia" w:ascii="黑体" w:hAnsi="Times New Roman" w:eastAsia="黑体" w:cs="Times New Roman"/>
          <w:color w:val="000000"/>
          <w:kern w:val="0"/>
          <w:sz w:val="28"/>
          <w:szCs w:val="28"/>
        </w:rPr>
        <w:t>（规范性）</w:t>
      </w:r>
    </w:p>
    <w:p>
      <w:pPr>
        <w:pageBreakBefore w:val="0"/>
        <w:widowControl w:val="0"/>
        <w:kinsoku/>
        <w:wordWrap/>
        <w:overflowPunct/>
        <w:topLinePunct w:val="0"/>
        <w:autoSpaceDE/>
        <w:autoSpaceDN/>
        <w:bidi w:val="0"/>
        <w:adjustRightInd/>
        <w:snapToGrid/>
        <w:spacing w:line="460" w:lineRule="exact"/>
        <w:jc w:val="center"/>
        <w:textAlignment w:val="auto"/>
        <w:rPr>
          <w:rFonts w:ascii="黑体" w:hAnsi="Times New Roman" w:eastAsia="黑体" w:cs="Times New Roman"/>
          <w:color w:val="000000"/>
          <w:kern w:val="0"/>
          <w:sz w:val="28"/>
          <w:szCs w:val="28"/>
        </w:rPr>
      </w:pPr>
      <w:r>
        <w:rPr>
          <w:rFonts w:hint="eastAsia" w:ascii="黑体" w:hAnsi="Times New Roman" w:eastAsia="黑体" w:cs="Times New Roman"/>
          <w:color w:val="000000"/>
          <w:kern w:val="0"/>
          <w:sz w:val="28"/>
          <w:szCs w:val="28"/>
        </w:rPr>
        <w:t>评估评分计算统计方法</w:t>
      </w:r>
    </w:p>
    <w:p>
      <w:pPr>
        <w:pStyle w:val="3"/>
        <w:pageBreakBefore w:val="0"/>
        <w:widowControl w:val="0"/>
        <w:numPr>
          <w:ilvl w:val="0"/>
          <w:numId w:val="0"/>
        </w:numPr>
        <w:kinsoku/>
        <w:wordWrap/>
        <w:overflowPunct/>
        <w:topLinePunct w:val="0"/>
        <w:autoSpaceDE/>
        <w:autoSpaceDN/>
        <w:bidi w:val="0"/>
        <w:adjustRightInd/>
        <w:snapToGrid/>
        <w:spacing w:line="460" w:lineRule="exact"/>
        <w:textAlignment w:val="auto"/>
        <w:rPr>
          <w:color w:val="000000"/>
        </w:rPr>
      </w:pPr>
      <w:bookmarkStart w:id="0" w:name="_Toc253078023"/>
      <w:r>
        <w:rPr>
          <w:rFonts w:hint="eastAsia"/>
          <w:color w:val="000000"/>
        </w:rPr>
        <w:t>一、定性评估评分计算统计方法</w:t>
      </w:r>
      <w:bookmarkEnd w:id="0"/>
    </w:p>
    <w:p>
      <w:pPr>
        <w:pStyle w:val="9"/>
        <w:pageBreakBefore w:val="0"/>
        <w:widowControl w:val="0"/>
        <w:numPr>
          <w:ilvl w:val="0"/>
          <w:numId w:val="2"/>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计算二级指标定量相对得分</w:t>
      </w:r>
    </w:p>
    <w:p>
      <w:pPr>
        <w:pStyle w:val="9"/>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Calibri" w:hAnsi="Calibri" w:eastAsia="仿宋_GB2312" w:cs="Times New Roman"/>
          <w:color w:val="000000"/>
          <w:kern w:val="2"/>
          <w:sz w:val="32"/>
          <w:szCs w:val="32"/>
          <w:lang w:val="en-US" w:eastAsia="zh-CN" w:bidi="ar-SA"/>
        </w:rPr>
      </w:pPr>
      <w:r>
        <w:rPr>
          <w:rFonts w:hint="eastAsia" w:ascii="Calibri" w:hAnsi="Calibri" w:eastAsia="仿宋_GB2312" w:cs="Times New Roman"/>
          <w:color w:val="000000"/>
          <w:kern w:val="2"/>
          <w:sz w:val="32"/>
          <w:szCs w:val="32"/>
          <w:lang w:val="en-US" w:eastAsia="zh-CN" w:bidi="ar-SA"/>
        </w:rPr>
        <w:t>二级指标相对得分=各考察要点实际得分之和</w:t>
      </w:r>
    </w:p>
    <w:p>
      <w:pPr>
        <w:pStyle w:val="9"/>
        <w:pageBreakBefore w:val="0"/>
        <w:widowControl w:val="0"/>
        <w:numPr>
          <w:ilvl w:val="0"/>
          <w:numId w:val="2"/>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计算二级指标相对平均分</w: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t>二级指标相对平均分=各专家二级指标所评实际得分之和/专家人数</w:t>
      </w:r>
    </w:p>
    <w:p>
      <w:pPr>
        <w:pStyle w:val="9"/>
        <w:pageBreakBefore w:val="0"/>
        <w:widowControl w:val="0"/>
        <w:numPr>
          <w:ilvl w:val="0"/>
          <w:numId w:val="2"/>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二级指标定性评估得分</w: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t>二级指标定性评估得分=二级指标相对平均分×相应权重</w:t>
      </w:r>
    </w:p>
    <w:p>
      <w:pPr>
        <w:pStyle w:val="3"/>
        <w:pageBreakBefore w:val="0"/>
        <w:widowControl w:val="0"/>
        <w:numPr>
          <w:ilvl w:val="0"/>
          <w:numId w:val="0"/>
        </w:numPr>
        <w:kinsoku/>
        <w:wordWrap/>
        <w:overflowPunct/>
        <w:topLinePunct w:val="0"/>
        <w:autoSpaceDE/>
        <w:autoSpaceDN/>
        <w:bidi w:val="0"/>
        <w:adjustRightInd/>
        <w:snapToGrid/>
        <w:spacing w:line="460" w:lineRule="exact"/>
        <w:textAlignment w:val="auto"/>
        <w:rPr>
          <w:color w:val="000000"/>
        </w:rPr>
      </w:pPr>
      <w:bookmarkStart w:id="1" w:name="_Toc253078024"/>
      <w:r>
        <w:rPr>
          <w:rFonts w:hint="eastAsia"/>
          <w:color w:val="000000"/>
        </w:rPr>
        <w:t>二、定量评估评分计算统计方法</w:t>
      </w:r>
      <w:bookmarkEnd w:id="1"/>
    </w:p>
    <w:p>
      <w:pPr>
        <w:pStyle w:val="9"/>
        <w:pageBreakBefore w:val="0"/>
        <w:widowControl w:val="0"/>
        <w:numPr>
          <w:ilvl w:val="0"/>
          <w:numId w:val="3"/>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统计指标分类及程序</w: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t>定量数据统计指标分为三级指标系统：一级指标、二级指标、考察要点。</w: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t>计分时，首先计算各考察要点基础分，然后将基础分还原成相对分值，再综合计算二级指标的定量评估得分。</w:t>
      </w:r>
    </w:p>
    <w:p>
      <w:pPr>
        <w:pStyle w:val="9"/>
        <w:pageBreakBefore w:val="0"/>
        <w:widowControl w:val="0"/>
        <w:numPr>
          <w:ilvl w:val="0"/>
          <w:numId w:val="3"/>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计算每个考察要点基础分</w: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object>
          <v:shape id="_x0000_i1025" o:spt="75" type="#_x0000_t75" style="height:27.7pt;width:97.1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object>
          <v:shape id="_x0000_i1026" o:spt="75" type="#_x0000_t75" style="height:16.75pt;width:18.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color w:val="000000"/>
        </w:rPr>
        <w:t>－某项考察要点分值</w: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object>
          <v:shape id="_x0000_i1027" o:spt="75" type="#_x0000_t75" style="height:18.4pt;width:20.1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color w:val="000000"/>
        </w:rPr>
        <w:t>－某项考察要点的基础分</w:t>
      </w:r>
    </w:p>
    <w:p>
      <w:pPr>
        <w:pageBreakBefore w:val="0"/>
        <w:widowControl w:val="0"/>
        <w:kinsoku/>
        <w:wordWrap/>
        <w:overflowPunct/>
        <w:topLinePunct w:val="0"/>
        <w:autoSpaceDE/>
        <w:autoSpaceDN/>
        <w:bidi w:val="0"/>
        <w:adjustRightInd/>
        <w:snapToGrid/>
        <w:spacing w:line="460" w:lineRule="exact"/>
        <w:ind w:firstLine="560"/>
        <w:textAlignment w:val="auto"/>
        <w:rPr>
          <w:color w:val="000000"/>
        </w:rPr>
      </w:pPr>
      <w:r>
        <w:rPr>
          <w:rFonts w:hint="eastAsia"/>
          <w:color w:val="000000"/>
        </w:rPr>
        <w:object>
          <v:shape id="_x0000_i1028" o:spt="75" type="#_x0000_t75" style="height:28.45pt;width:19.9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color w:val="000000"/>
        </w:rPr>
        <w:t>－某项考察要点的调查数据</w:t>
      </w:r>
    </w:p>
    <w:p>
      <w:pPr>
        <w:pStyle w:val="9"/>
        <w:pageBreakBefore w:val="0"/>
        <w:widowControl w:val="0"/>
        <w:numPr>
          <w:ilvl w:val="0"/>
          <w:numId w:val="3"/>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计算考察要点相对分值</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vertAlign w:val="subscript"/>
        </w:rPr>
      </w:pPr>
      <w:r>
        <w:rPr>
          <w:rFonts w:hint="eastAsia" w:ascii="仿宋_GB2312"/>
          <w:color w:val="000000"/>
          <w:szCs w:val="28"/>
        </w:rPr>
        <w:t>1）计算某项考察要点基础分</w:t>
      </w:r>
      <w:r>
        <w:rPr>
          <w:rFonts w:hint="eastAsia"/>
          <w:color w:val="000000"/>
          <w:position w:val="-12"/>
        </w:rPr>
        <w:object>
          <v:shape id="_x0000_i1029" o:spt="75" type="#_x0000_t75" style="height:27.65pt;width:20.1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position w:val="-12"/>
        </w:rPr>
        <w:object>
          <v:shape id="_x0000_i1030" o:spt="75" type="#_x0000_t75" style="height:27.65pt;width:20.1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5">
            <o:LockedField>false</o:LockedField>
          </o:OLEObject>
        </w:object>
      </w:r>
      <w:r>
        <w:rPr>
          <w:rFonts w:hint="eastAsia"/>
          <w:color w:val="000000"/>
          <w:position w:val="-12"/>
        </w:rPr>
        <w:t>=</w:t>
      </w:r>
      <w:r>
        <w:rPr>
          <w:rFonts w:hint="eastAsia"/>
          <w:color w:val="000000"/>
          <w:position w:val="-6"/>
        </w:rPr>
        <w:object>
          <v:shape id="_x0000_i1031" o:spt="75" type="#_x0000_t75" style="height:16.75pt;width:18.4pt;" o:ole="t" filled="f" o:preferrelative="t" stroked="f" coordsize="21600,21600">
            <v:path/>
            <v:fill on="f" focussize="0,0"/>
            <v:stroke on="f" joinstyle="miter"/>
            <v:imagedata r:id="rId8" o:title=""/>
            <o:lock v:ext="edit" aspectratio="t"/>
            <w10:wrap type="none"/>
            <w10:anchorlock/>
          </v:shape>
          <o:OLEObject Type="Embed" ProgID="Equation.3" ShapeID="_x0000_i1031" DrawAspect="Content" ObjectID="_1468075731" r:id="rId16">
            <o:LockedField>false</o:LockedField>
          </o:OLEObject>
        </w:object>
      </w:r>
      <w:r>
        <w:rPr>
          <w:rFonts w:hint="eastAsia" w:ascii="仿宋_GB2312"/>
          <w:color w:val="000000"/>
          <w:szCs w:val="28"/>
        </w:rPr>
        <w:tab/>
      </w:r>
    </w:p>
    <w:p>
      <w:pPr>
        <w:pageBreakBefore w:val="0"/>
        <w:widowControl w:val="0"/>
        <w:tabs>
          <w:tab w:val="left" w:pos="720"/>
        </w:tabs>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ascii="仿宋_GB2312"/>
          <w:color w:val="000000"/>
          <w:szCs w:val="28"/>
        </w:rPr>
        <w:t>2）计算考察要点相对分值</w:t>
      </w:r>
      <w:r>
        <w:rPr>
          <w:rFonts w:hint="eastAsia"/>
          <w:color w:val="000000"/>
          <w:position w:val="-6"/>
        </w:rPr>
        <w:object>
          <v:shape id="_x0000_i1032" o:spt="75" type="#_x0000_t75" style="height:18.4pt;width:20.1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7">
            <o:LockedField>false</o:LockedField>
          </o:OLEObject>
        </w:objec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position w:val="-16"/>
        </w:rPr>
        <w:object>
          <v:shape id="_x0000_i1033" o:spt="75" type="#_x0000_t75" style="height:27.65pt;width:267.15pt;" o:ole="t" filled="f" o:preferrelative="t" stroked="f" coordsize="21600,21600">
            <v:path/>
            <v:fill on="f" focussize="0,0"/>
            <v:stroke on="f" joinstyle="miter"/>
            <v:imagedata r:id="rId20" o:title=""/>
            <o:lock v:ext="edit" aspectratio="t"/>
            <w10:wrap type="none"/>
            <w10:anchorlock/>
          </v:shape>
          <o:OLEObject Type="Embed" ProgID="Equation.3" ShapeID="_x0000_i1033" DrawAspect="Content" ObjectID="_1468075733" r:id="rId19">
            <o:LockedField>false</o:LockedField>
          </o:OLEObject>
        </w:objec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position w:val="-4"/>
        </w:rPr>
        <w:object>
          <v:shape id="_x0000_i1034" o:spt="75" type="#_x0000_t75" style="height:16.75pt;width:10.9pt;" o:ole="t" filled="f" o:preferrelative="t" stroked="f" coordsize="21600,21600">
            <v:path/>
            <v:fill on="f" focussize="0,0"/>
            <v:stroke on="f" joinstyle="miter"/>
            <v:imagedata r:id="rId22" o:title=""/>
            <o:lock v:ext="edit" aspectratio="t"/>
            <w10:wrap type="none"/>
            <w10:anchorlock/>
          </v:shape>
          <o:OLEObject Type="Embed" ProgID="Equation.3" ShapeID="_x0000_i1034" DrawAspect="Content" ObjectID="_1468075734" r:id="rId21">
            <o:LockedField>false</o:LockedField>
          </o:OLEObject>
        </w:object>
      </w:r>
      <w:r>
        <w:rPr>
          <w:rFonts w:hint="eastAsia" w:ascii="仿宋_GB2312"/>
          <w:color w:val="000000"/>
          <w:szCs w:val="28"/>
        </w:rPr>
        <w:t>－原始分权重值=考察要点原始分/二级定量指标原始分</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b/>
          <w:bCs/>
          <w:color w:val="000000"/>
          <w:szCs w:val="28"/>
        </w:rPr>
      </w:pPr>
      <w:r>
        <w:rPr>
          <w:rFonts w:hint="eastAsia"/>
          <w:color w:val="000000"/>
          <w:position w:val="-12"/>
        </w:rPr>
        <w:object>
          <v:shape id="_x0000_i1035" o:spt="75" type="#_x0000_t75" style="height:27.65pt;width:20.1pt;" o:ole="t" filled="f" o:preferrelative="t" stroked="f" coordsize="21600,21600">
            <v:path/>
            <v:fill on="f" focussize="0,0"/>
            <v:stroke on="f" joinstyle="miter"/>
            <v:imagedata r:id="rId14" o:title=""/>
            <o:lock v:ext="edit" aspectratio="t"/>
            <w10:wrap type="none"/>
            <w10:anchorlock/>
          </v:shape>
          <o:OLEObject Type="Embed" ProgID="Equation.DSMT4" ShapeID="_x0000_i1035" DrawAspect="Content" ObjectID="_1468075735" r:id="rId23">
            <o:LockedField>false</o:LockedField>
          </o:OLEObject>
        </w:object>
      </w:r>
      <w:r>
        <w:rPr>
          <w:rFonts w:hint="eastAsia" w:ascii="仿宋_GB2312"/>
          <w:color w:val="000000"/>
          <w:szCs w:val="28"/>
        </w:rPr>
        <w:t>－某项考察要点基础分值</w:t>
      </w:r>
    </w:p>
    <w:p>
      <w:pPr>
        <w:pageBreakBefore w:val="0"/>
        <w:widowControl w:val="0"/>
        <w:tabs>
          <w:tab w:val="left" w:pos="720"/>
        </w:tabs>
        <w:kinsoku/>
        <w:wordWrap/>
        <w:overflowPunct/>
        <w:topLinePunct w:val="0"/>
        <w:autoSpaceDE/>
        <w:autoSpaceDN/>
        <w:bidi w:val="0"/>
        <w:adjustRightInd/>
        <w:snapToGrid/>
        <w:spacing w:before="62" w:beforeLines="20" w:line="460" w:lineRule="exact"/>
        <w:ind w:firstLine="560"/>
        <w:textAlignment w:val="auto"/>
        <w:rPr>
          <w:rFonts w:ascii="仿宋_GB2312"/>
          <w:b/>
          <w:bCs/>
          <w:color w:val="000000"/>
          <w:szCs w:val="28"/>
        </w:rPr>
      </w:pPr>
      <w:r>
        <w:rPr>
          <w:rFonts w:hint="eastAsia"/>
          <w:color w:val="000000"/>
          <w:position w:val="-6"/>
        </w:rPr>
        <w:object>
          <v:shape id="_x0000_i1036" o:spt="75" type="#_x0000_t75" style="height:15.05pt;width:18.4pt;" o:ole="t" filled="f" o:preferrelative="t" stroked="f" coordsize="21600,21600">
            <v:path/>
            <v:fill on="f" focussize="0,0"/>
            <v:stroke on="f" joinstyle="miter"/>
            <v:imagedata r:id="rId25" o:title=""/>
            <o:lock v:ext="edit" aspectratio="t"/>
            <w10:wrap type="none"/>
            <w10:anchorlock/>
          </v:shape>
          <o:OLEObject Type="Embed" ProgID="Equation.3" ShapeID="_x0000_i1036" DrawAspect="Content" ObjectID="_1468075736" r:id="rId24">
            <o:LockedField>false</o:LockedField>
          </o:OLEObject>
        </w:object>
      </w:r>
      <w:r>
        <w:rPr>
          <w:rFonts w:hint="eastAsia" w:ascii="仿宋_GB2312"/>
          <w:b/>
          <w:bCs/>
          <w:color w:val="000000"/>
          <w:szCs w:val="28"/>
        </w:rPr>
        <w:t>－</w:t>
      </w:r>
      <w:r>
        <w:rPr>
          <w:rFonts w:hint="eastAsia" w:ascii="仿宋_GB2312"/>
          <w:color w:val="000000"/>
          <w:szCs w:val="28"/>
        </w:rPr>
        <w:t>所有同级别参评博物馆该项考察要点的基础分平均值</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position w:val="-6"/>
        </w:rPr>
        <w:object>
          <v:shape id="_x0000_i1037" o:spt="75" type="#_x0000_t75" style="height:15.05pt;width:27.65pt;" o:ole="t" filled="f" o:preferrelative="t" stroked="f" coordsize="21600,21600">
            <v:path/>
            <v:fill on="f" focussize="0,0"/>
            <v:stroke on="f" joinstyle="miter"/>
            <v:imagedata r:id="rId27" o:title=""/>
            <o:lock v:ext="edit" aspectratio="t"/>
            <w10:wrap type="none"/>
            <w10:anchorlock/>
          </v:shape>
          <o:OLEObject Type="Embed" ProgID="Equation.3" ShapeID="_x0000_i1037" DrawAspect="Content" ObjectID="_1468075737" r:id="rId26">
            <o:LockedField>false</o:LockedField>
          </o:OLEObject>
        </w:object>
      </w:r>
      <w:r>
        <w:rPr>
          <w:rFonts w:hint="eastAsia" w:ascii="仿宋_GB2312"/>
          <w:color w:val="000000"/>
          <w:szCs w:val="28"/>
        </w:rPr>
        <w:t>－所有同级别参评博物馆该项考察要点的基础分最大值</w:t>
      </w:r>
    </w:p>
    <w:p>
      <w:pPr>
        <w:pStyle w:val="9"/>
        <w:pageBreakBefore w:val="0"/>
        <w:widowControl w:val="0"/>
        <w:numPr>
          <w:ilvl w:val="0"/>
          <w:numId w:val="3"/>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计算二级指标相对得分</w:t>
      </w:r>
      <w:r>
        <w:rPr>
          <w:b/>
          <w:color w:val="000000"/>
        </w:rPr>
        <w:object>
          <v:shape id="_x0000_i1038" o:spt="75" type="#_x0000_t75" style="height:13.4pt;width:18.4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8" r:id="rId28">
            <o:LockedField>false</o:LockedField>
          </o:OLEObject>
        </w:objec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position w:val="-14"/>
        </w:rPr>
        <w:object>
          <v:shape id="_x0000_i1039" o:spt="75" type="#_x0000_t75" style="height:20.1pt;width:61.1pt;" o:ole="t" filled="f" o:preferrelative="t" stroked="f" coordsize="21600,21600">
            <v:path/>
            <v:fill on="f" focussize="0,0"/>
            <v:stroke on="f" joinstyle="miter"/>
            <v:imagedata r:id="rId31" o:title=""/>
            <o:lock v:ext="edit" aspectratio="t"/>
            <w10:wrap type="none"/>
            <w10:anchorlock/>
          </v:shape>
          <o:OLEObject Type="Embed" ProgID="Equation.3" ShapeID="_x0000_i1039" DrawAspect="Content" ObjectID="_1468075739" r:id="rId30">
            <o:LockedField>false</o:LockedField>
          </o:OLEObject>
        </w:objec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position w:val="-6"/>
        </w:rPr>
        <w:object>
          <v:shape id="_x0000_i1040" o:spt="75" type="#_x0000_t75" style="height:18.4pt;width:20.1pt;" o:ole="t" filled="f" o:preferrelative="t" stroked="f" coordsize="21600,21600">
            <v:path/>
            <v:fill on="f" focussize="0,0"/>
            <v:stroke on="f" joinstyle="miter"/>
            <v:imagedata r:id="rId18" o:title=""/>
            <o:lock v:ext="edit" aspectratio="t"/>
            <w10:wrap type="none"/>
            <w10:anchorlock/>
          </v:shape>
          <o:OLEObject Type="Embed" ProgID="Equation.3" ShapeID="_x0000_i1040" DrawAspect="Content" ObjectID="_1468075740" r:id="rId32">
            <o:LockedField>false</o:LockedField>
          </o:OLEObject>
        </w:object>
      </w:r>
      <w:r>
        <w:rPr>
          <w:rFonts w:hint="eastAsia" w:ascii="仿宋_GB2312"/>
          <w:color w:val="000000"/>
          <w:szCs w:val="28"/>
        </w:rPr>
        <w:t>－某项考察要点相对分值</w:t>
      </w:r>
    </w:p>
    <w:p>
      <w:pPr>
        <w:pStyle w:val="9"/>
        <w:pageBreakBefore w:val="0"/>
        <w:widowControl w:val="0"/>
        <w:numPr>
          <w:ilvl w:val="0"/>
          <w:numId w:val="3"/>
        </w:numPr>
        <w:kinsoku/>
        <w:wordWrap/>
        <w:overflowPunct/>
        <w:topLinePunct w:val="0"/>
        <w:autoSpaceDE/>
        <w:autoSpaceDN/>
        <w:bidi w:val="0"/>
        <w:adjustRightInd/>
        <w:snapToGrid/>
        <w:spacing w:line="460" w:lineRule="exact"/>
        <w:ind w:hanging="840" w:firstLineChars="0"/>
        <w:textAlignment w:val="auto"/>
        <w:rPr>
          <w:b/>
          <w:color w:val="000000"/>
        </w:rPr>
      </w:pPr>
      <w:r>
        <w:rPr>
          <w:rFonts w:hint="eastAsia"/>
          <w:b/>
          <w:color w:val="000000"/>
        </w:rPr>
        <w:t>计算二级指标定量评估得分</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rPr>
        <w:t>二级指标定量评估得分=二级指标相对得分×相应权重</w:t>
      </w:r>
    </w:p>
    <w:p>
      <w:pPr>
        <w:pStyle w:val="3"/>
        <w:pageBreakBefore w:val="0"/>
        <w:widowControl w:val="0"/>
        <w:numPr>
          <w:ilvl w:val="0"/>
          <w:numId w:val="0"/>
        </w:numPr>
        <w:kinsoku/>
        <w:wordWrap/>
        <w:overflowPunct/>
        <w:topLinePunct w:val="0"/>
        <w:autoSpaceDE/>
        <w:autoSpaceDN/>
        <w:bidi w:val="0"/>
        <w:adjustRightInd/>
        <w:snapToGrid/>
        <w:spacing w:line="460" w:lineRule="exact"/>
        <w:textAlignment w:val="auto"/>
        <w:rPr>
          <w:color w:val="000000"/>
        </w:rPr>
      </w:pPr>
      <w:bookmarkStart w:id="2" w:name="_Toc253078025"/>
      <w:r>
        <w:rPr>
          <w:rFonts w:hint="eastAsia"/>
          <w:color w:val="000000"/>
        </w:rPr>
        <w:t>三、</w:t>
      </w:r>
      <w:bookmarkEnd w:id="2"/>
      <w:r>
        <w:rPr>
          <w:rFonts w:hint="eastAsia"/>
          <w:color w:val="000000"/>
        </w:rPr>
        <w:t>评估成绩</w:t>
      </w:r>
    </w:p>
    <w:p>
      <w:pPr>
        <w:pStyle w:val="9"/>
        <w:pageBreakBefore w:val="0"/>
        <w:widowControl w:val="0"/>
        <w:numPr>
          <w:ilvl w:val="0"/>
          <w:numId w:val="4"/>
        </w:numPr>
        <w:kinsoku/>
        <w:wordWrap/>
        <w:overflowPunct/>
        <w:topLinePunct w:val="0"/>
        <w:autoSpaceDE/>
        <w:autoSpaceDN/>
        <w:bidi w:val="0"/>
        <w:adjustRightInd/>
        <w:snapToGrid/>
        <w:spacing w:line="460" w:lineRule="exact"/>
        <w:ind w:firstLineChars="0"/>
        <w:textAlignment w:val="auto"/>
        <w:rPr>
          <w:b/>
          <w:color w:val="000000"/>
        </w:rPr>
      </w:pPr>
      <w:r>
        <w:rPr>
          <w:rFonts w:hint="eastAsia"/>
          <w:b/>
          <w:color w:val="000000"/>
        </w:rPr>
        <w:t>统计二级指标最终得分</w:t>
      </w:r>
    </w:p>
    <w:p>
      <w:pPr>
        <w:pageBreakBefore w:val="0"/>
        <w:widowControl w:val="0"/>
        <w:kinsoku/>
        <w:wordWrap/>
        <w:overflowPunct/>
        <w:topLinePunct w:val="0"/>
        <w:autoSpaceDE/>
        <w:autoSpaceDN/>
        <w:bidi w:val="0"/>
        <w:adjustRightInd/>
        <w:snapToGrid/>
        <w:spacing w:before="156" w:beforeLines="50" w:line="460" w:lineRule="exact"/>
        <w:ind w:firstLine="560"/>
        <w:textAlignment w:val="auto"/>
        <w:rPr>
          <w:rFonts w:ascii="仿宋_GB2312"/>
          <w:color w:val="000000"/>
          <w:szCs w:val="28"/>
        </w:rPr>
      </w:pPr>
      <w:r>
        <w:rPr>
          <w:rFonts w:hint="eastAsia" w:ascii="仿宋_GB2312"/>
          <w:color w:val="000000"/>
          <w:szCs w:val="28"/>
        </w:rPr>
        <w:t>博物馆运行评估最终得分的计算采用线性加权综合法，首先计算各二级指标最终得分：</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color w:val="000000"/>
          <w:szCs w:val="28"/>
        </w:rPr>
      </w:pPr>
      <w:r>
        <w:rPr>
          <w:rFonts w:hint="eastAsia"/>
          <w:color w:val="000000"/>
          <w:position w:val="-14"/>
        </w:rPr>
        <w:object>
          <v:shape id="_x0000_i1041" o:spt="75" type="#_x0000_t75" style="height:27.65pt;width:133.95pt;" o:ole="t" filled="f" o:preferrelative="t" stroked="f" coordsize="21600,21600">
            <v:path/>
            <v:fill on="f" focussize="0,0"/>
            <v:stroke on="f" joinstyle="miter"/>
            <v:imagedata r:id="rId34" o:title=""/>
            <o:lock v:ext="edit" aspectratio="t"/>
            <w10:wrap type="none"/>
            <w10:anchorlock/>
          </v:shape>
          <o:OLEObject Type="Embed" ProgID="Equation.3" ShapeID="_x0000_i1041" DrawAspect="Content" ObjectID="_1468075741" r:id="rId33">
            <o:LockedField>false</o:LockedField>
          </o:OLEObject>
        </w:objec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hAnsi="宋体"/>
          <w:color w:val="000000"/>
          <w:szCs w:val="28"/>
        </w:rPr>
      </w:pPr>
      <w:r>
        <w:rPr>
          <w:color w:val="000000"/>
          <w:position w:val="-10"/>
        </w:rPr>
        <w:object>
          <v:shape id="_x0000_i1042" o:spt="75" type="#_x0000_t75" style="height:20.1pt;width:13.4pt;" o:ole="t" filled="f" o:preferrelative="t" stroked="f" coordsize="21600,21600">
            <v:path/>
            <v:fill on="f" focussize="0,0"/>
            <v:stroke on="f" joinstyle="miter"/>
            <v:imagedata r:id="rId36" o:title=""/>
            <o:lock v:ext="edit" aspectratio="t"/>
            <w10:wrap type="none"/>
            <w10:anchorlock/>
          </v:shape>
          <o:OLEObject Type="Embed" ProgID="Equation.DSMT4" ShapeID="_x0000_i1042" DrawAspect="Content" ObjectID="_1468075742" r:id="rId35">
            <o:LockedField>false</o:LockedField>
          </o:OLEObject>
        </w:object>
      </w:r>
      <w:r>
        <w:rPr>
          <w:rFonts w:hint="eastAsia" w:ascii="仿宋_GB2312"/>
          <w:color w:val="000000"/>
          <w:szCs w:val="28"/>
        </w:rPr>
        <w:t>－</w:t>
      </w:r>
      <w:r>
        <w:rPr>
          <w:rFonts w:hint="eastAsia" w:ascii="仿宋_GB2312" w:hAnsi="宋体"/>
          <w:color w:val="000000"/>
          <w:szCs w:val="28"/>
        </w:rPr>
        <w:t>最终评估得分值，</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hAnsi="宋体"/>
          <w:color w:val="000000"/>
          <w:szCs w:val="28"/>
        </w:rPr>
      </w:pPr>
      <w:r>
        <w:rPr>
          <w:rFonts w:hint="eastAsia"/>
          <w:color w:val="000000"/>
          <w:position w:val="-14"/>
        </w:rPr>
        <w:object>
          <v:shape id="_x0000_i1043" o:spt="75" type="#_x0000_t75" style="height:25.1pt;width:31.8pt;" o:ole="t" filled="f" o:preferrelative="t" stroked="f" coordsize="21600,21600">
            <v:path/>
            <v:fill on="f" focussize="0,0"/>
            <v:stroke on="f" joinstyle="miter"/>
            <v:imagedata r:id="rId38" o:title=""/>
            <o:lock v:ext="edit" aspectratio="t"/>
            <w10:wrap type="none"/>
            <w10:anchorlock/>
          </v:shape>
          <o:OLEObject Type="Embed" ProgID="Equation.3" ShapeID="_x0000_i1043" DrawAspect="Content" ObjectID="_1468075743" r:id="rId37">
            <o:LockedField>false</o:LockedField>
          </o:OLEObject>
        </w:object>
      </w:r>
      <w:r>
        <w:rPr>
          <w:rFonts w:hint="eastAsia" w:ascii="仿宋_GB2312"/>
          <w:color w:val="000000"/>
          <w:szCs w:val="28"/>
        </w:rPr>
        <w:t>－二级指标</w:t>
      </w:r>
      <w:r>
        <w:rPr>
          <w:rFonts w:hint="eastAsia" w:ascii="仿宋_GB2312" w:hAnsi="宋体"/>
          <w:color w:val="000000"/>
          <w:szCs w:val="28"/>
        </w:rPr>
        <w:t>定性评估得分值，</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hAnsi="宋体"/>
          <w:color w:val="000000"/>
          <w:szCs w:val="28"/>
        </w:rPr>
      </w:pPr>
      <w:r>
        <w:rPr>
          <w:rFonts w:hint="eastAsia"/>
          <w:color w:val="000000"/>
          <w:position w:val="-6"/>
        </w:rPr>
        <w:object>
          <v:shape id="_x0000_i1044" o:spt="75" type="#_x0000_t75" style="height:18.4pt;width:31.8pt;" o:ole="t" filled="f" o:preferrelative="t" stroked="f" coordsize="21600,21600">
            <v:path/>
            <v:fill on="f" focussize="0,0"/>
            <v:stroke on="f" joinstyle="miter"/>
            <v:imagedata r:id="rId40" o:title=""/>
            <o:lock v:ext="edit" aspectratio="t"/>
            <w10:wrap type="none"/>
            <w10:anchorlock/>
          </v:shape>
          <o:OLEObject Type="Embed" ProgID="Equation.3" ShapeID="_x0000_i1044" DrawAspect="Content" ObjectID="_1468075744" r:id="rId39">
            <o:LockedField>false</o:LockedField>
          </o:OLEObject>
        </w:object>
      </w:r>
      <w:r>
        <w:rPr>
          <w:rFonts w:hint="eastAsia" w:ascii="仿宋_GB2312"/>
          <w:color w:val="000000"/>
          <w:szCs w:val="28"/>
        </w:rPr>
        <w:t>－二级指标</w:t>
      </w:r>
      <w:r>
        <w:rPr>
          <w:rFonts w:hint="eastAsia" w:ascii="仿宋_GB2312" w:hAnsi="宋体"/>
          <w:color w:val="000000"/>
          <w:szCs w:val="28"/>
        </w:rPr>
        <w:t>定量评估得分值，</w:t>
      </w:r>
    </w:p>
    <w:p>
      <w:pPr>
        <w:pageBreakBefore w:val="0"/>
        <w:widowControl w:val="0"/>
        <w:kinsoku/>
        <w:wordWrap/>
        <w:overflowPunct/>
        <w:topLinePunct w:val="0"/>
        <w:autoSpaceDE/>
        <w:autoSpaceDN/>
        <w:bidi w:val="0"/>
        <w:adjustRightInd/>
        <w:snapToGrid/>
        <w:spacing w:before="62" w:beforeLines="20" w:line="460" w:lineRule="exact"/>
        <w:ind w:firstLine="560"/>
        <w:textAlignment w:val="auto"/>
        <w:rPr>
          <w:rFonts w:ascii="仿宋_GB2312" w:hAnsi="宋体"/>
          <w:color w:val="000000"/>
          <w:szCs w:val="28"/>
        </w:rPr>
      </w:pPr>
      <w:r>
        <w:rPr>
          <w:rFonts w:hint="eastAsia"/>
          <w:color w:val="000000"/>
          <w:position w:val="-10"/>
        </w:rPr>
        <w:object>
          <v:shape id="_x0000_i1045" o:spt="75" type="#_x0000_t75" style="height:20.1pt;width:15.05pt;" o:ole="t" filled="f" o:preferrelative="t" stroked="f" coordsize="21600,21600">
            <v:path/>
            <v:fill on="f" focussize="0,0"/>
            <v:stroke on="f" joinstyle="miter"/>
            <v:imagedata r:id="rId42" o:title=""/>
            <o:lock v:ext="edit" aspectratio="t"/>
            <w10:wrap type="none"/>
            <w10:anchorlock/>
          </v:shape>
          <o:OLEObject Type="Embed" ProgID="Equation.3" ShapeID="_x0000_i1045" DrawAspect="Content" ObjectID="_1468075745" r:id="rId41">
            <o:LockedField>false</o:LockedField>
          </o:OLEObject>
        </w:object>
      </w:r>
      <w:r>
        <w:rPr>
          <w:rFonts w:hint="eastAsia" w:ascii="仿宋_GB2312"/>
          <w:color w:val="000000"/>
          <w:szCs w:val="28"/>
        </w:rPr>
        <w:t>，</w:t>
      </w:r>
      <w:r>
        <w:rPr>
          <w:rFonts w:hint="eastAsia"/>
          <w:color w:val="000000"/>
          <w:position w:val="-10"/>
        </w:rPr>
        <w:object>
          <v:shape id="_x0000_i1046" o:spt="75" type="#_x0000_t75" style="height:20.1pt;width:20.1pt;" o:ole="t" filled="f" o:preferrelative="t" stroked="f" coordsize="21600,21600">
            <v:path/>
            <v:fill on="f" focussize="0,0"/>
            <v:stroke on="f" joinstyle="miter"/>
            <v:imagedata r:id="rId44" o:title=""/>
            <o:lock v:ext="edit" aspectratio="t"/>
            <w10:wrap type="none"/>
            <w10:anchorlock/>
          </v:shape>
          <o:OLEObject Type="Embed" ProgID="Equation.3" ShapeID="_x0000_i1046" DrawAspect="Content" ObjectID="_1468075746" r:id="rId43">
            <o:LockedField>false</o:LockedField>
          </o:OLEObject>
        </w:object>
      </w:r>
      <w:r>
        <w:rPr>
          <w:rFonts w:hint="eastAsia" w:ascii="仿宋_GB2312"/>
          <w:color w:val="000000"/>
          <w:szCs w:val="28"/>
        </w:rPr>
        <w:t>－</w:t>
      </w:r>
      <w:r>
        <w:rPr>
          <w:rFonts w:hint="eastAsia" w:ascii="仿宋_GB2312" w:hAnsi="宋体"/>
          <w:color w:val="000000"/>
          <w:szCs w:val="28"/>
        </w:rPr>
        <w:t>常数，分别表示定性评估指标和定量评估指标的比重系数。</w:t>
      </w:r>
    </w:p>
    <w:p>
      <w:pPr>
        <w:pStyle w:val="9"/>
        <w:pageBreakBefore w:val="0"/>
        <w:widowControl w:val="0"/>
        <w:numPr>
          <w:ilvl w:val="0"/>
          <w:numId w:val="4"/>
        </w:numPr>
        <w:kinsoku/>
        <w:wordWrap/>
        <w:overflowPunct/>
        <w:topLinePunct w:val="0"/>
        <w:autoSpaceDE/>
        <w:autoSpaceDN/>
        <w:bidi w:val="0"/>
        <w:adjustRightInd/>
        <w:snapToGrid/>
        <w:spacing w:line="460" w:lineRule="exact"/>
        <w:ind w:firstLineChars="0"/>
        <w:textAlignment w:val="auto"/>
        <w:rPr>
          <w:b/>
          <w:color w:val="000000"/>
        </w:rPr>
      </w:pPr>
      <w:r>
        <w:rPr>
          <w:rFonts w:hint="eastAsia"/>
          <w:b/>
          <w:color w:val="000000"/>
        </w:rPr>
        <w:t>统计最终评估成绩</w:t>
      </w:r>
    </w:p>
    <w:p>
      <w:pPr>
        <w:pageBreakBefore w:val="0"/>
        <w:widowControl w:val="0"/>
        <w:kinsoku/>
        <w:wordWrap/>
        <w:overflowPunct/>
        <w:topLinePunct w:val="0"/>
        <w:autoSpaceDE/>
        <w:autoSpaceDN/>
        <w:bidi w:val="0"/>
        <w:adjustRightInd/>
        <w:snapToGrid/>
        <w:spacing w:line="460" w:lineRule="exact"/>
        <w:textAlignment w:val="auto"/>
        <w:rPr>
          <w:color w:val="000000"/>
        </w:rPr>
      </w:pPr>
      <w:r>
        <w:rPr>
          <w:rFonts w:hint="eastAsia"/>
          <w:color w:val="000000"/>
        </w:rPr>
        <w:t>评估成绩=各二级指标最终得分之和＋“特色加分项”得分－“警示减分项”得分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color w:val="000000"/>
        </w:rPr>
        <w:br w:type="page"/>
      </w:r>
      <w:r>
        <w:rPr>
          <w:rFonts w:hint="eastAsia" w:ascii="方正小标宋简体" w:hAnsi="方正小标宋简体" w:eastAsia="方正小标宋简体" w:cs="方正小标宋简体"/>
          <w:color w:val="000000"/>
          <w:kern w:val="0"/>
          <w:sz w:val="44"/>
          <w:szCs w:val="44"/>
        </w:rPr>
        <w:t>参考文献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[1]《中华人民共和国文物保护法》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[2]《中华人民共和国教育法》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[3]《中华人民共和国科学技术普及法》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[4]《中华人民共和国公共文化服务保障法》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[5]《中华人民共和国国民经济和社会发展第十四个五年规划和2035年远景目标纲要》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[6]《博物馆条例》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[7]《新时代爱国主义教育实施纲要》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[8]《关于进一步加强文物工作的指导意见》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[9]《关于加强文物保护利用改革的若干意见》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[10]《“十四五”文物保护和科技创新规划》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[11]《关于推进博物馆改革发展的指导意见》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[12]《关于推动公共文化服务高质量发展的意见》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[13]《博物馆管理办法》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[14]《博物馆藏品管理办法》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[15]《关于推动文化文物单位文化创意产品开发的若干意见》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[16]《关于进一步做好公共博物馆、纪念馆免费开放工作的意见》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[17]《关于进一步加强文博事业单位人事管理工作的指导意见》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[18]《关于深化文物博物专业人员职称制度改革的指导意见》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[19]《关于促进民办博物馆发展的意见》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[20]《关于进一步推动非国有博物馆发展的意见》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[21]《中国文物、博物馆工作者职业道德准则》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[22]《博物馆馆长专业资格条件（试行）》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[23]《国际博物馆协会章程》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[24]《国际博物馆协会博物馆职业道德准则》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color w:val="000000"/>
          <w:sz w:val="32"/>
          <w:szCs w:val="32"/>
        </w:rPr>
        <w:t>[25]《联合国教科文组织关于保护与促进博物馆和收藏及其多样性、社会角色的建议书</w:t>
      </w:r>
      <w:r>
        <w:rPr>
          <w:rFonts w:hint="eastAsia" w:ascii="仿宋_GB2312" w:hAnsi="仿宋_GB2312" w:cs="仿宋_GB2312"/>
          <w:color w:val="00000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945" cy="162560"/>
              <wp:effectExtent l="0" t="0" r="0" b="0"/>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67945" cy="162560"/>
                      </a:xfrm>
                      <a:prstGeom prst="rect">
                        <a:avLst/>
                      </a:prstGeom>
                      <a:noFill/>
                      <a:ln w="6350">
                        <a:noFill/>
                      </a:ln>
                    </wps:spPr>
                    <wps:txbx>
                      <w:txbxContent>
                        <w:p>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pt;width:5.35pt;mso-position-horizontal:outside;mso-position-horizontal-relative:margin;mso-wrap-style:none;z-index:251659264;mso-width-relative:page;mso-height-relative:page;" filled="f" stroked="f" coordsize="21600,21600" o:gfxdata="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Tn/ONEAAAADAQAADwAAAAAAAAABACAAAAAiAAAAZHJzL2Rvd25yZXYueG1sUEsBAhQAFAAAAAgA&#10;h07iQM5QvwnzAQAA2gMAAA4AAAAAAAAAAQAgAAAAIAEAAGRycy9lMm9Eb2MueG1sUEsFBgAAAAAG&#10;AAYAWQEAAIUFAAAAAA==&#10;">
              <v:path/>
              <v:fill on="f" focussize="0,0"/>
              <v:stroke on="f" weight="0.5pt"/>
              <v:imagedata o:title=""/>
              <o:lock v:ext="edit" text="t" aspectratio="t"/>
              <v:textbox inset="0mm,0mm,0mm,0mm" style="mso-fit-shape-to-text:t;">
                <w:txbxContent>
                  <w:p>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F6DB"/>
    <w:multiLevelType w:val="multilevel"/>
    <w:tmpl w:val="8D2FF6DB"/>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A977FE0"/>
    <w:multiLevelType w:val="multilevel"/>
    <w:tmpl w:val="3A977FE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pStyle w:val="3"/>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D2A3EAF"/>
    <w:multiLevelType w:val="multilevel"/>
    <w:tmpl w:val="3D2A3EA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872885"/>
    <w:multiLevelType w:val="multilevel"/>
    <w:tmpl w:val="3D872885"/>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mJhZjQ3NzE0MTQ3OGEyZDExOWVlMDc5ZDBlN2YifQ=="/>
  </w:docVars>
  <w:rsids>
    <w:rsidRoot w:val="57C667A2"/>
    <w:rsid w:val="57C6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3"/>
    <w:basedOn w:val="1"/>
    <w:next w:val="1"/>
    <w:qFormat/>
    <w:uiPriority w:val="9"/>
    <w:pPr>
      <w:keepNext/>
      <w:keepLines/>
      <w:numPr>
        <w:ilvl w:val="2"/>
        <w:numId w:val="1"/>
      </w:numPr>
      <w:spacing w:before="260" w:after="260" w:line="416" w:lineRule="auto"/>
      <w:outlineLvl w:val="2"/>
    </w:pPr>
    <w:rPr>
      <w:rFonts w:ascii="Times New Roman" w:hAnsi="Times New Roman" w:eastAsia="仿宋_GB2312" w:cs="Times New Roman"/>
      <w:b/>
      <w:bCs/>
      <w:sz w:val="28"/>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Indent 21"/>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paragraph" w:styleId="4">
    <w:name w:val="caption"/>
    <w:basedOn w:val="1"/>
    <w:next w:val="1"/>
    <w:unhideWhenUsed/>
    <w:qFormat/>
    <w:uiPriority w:val="35"/>
    <w:pPr>
      <w:spacing w:line="360" w:lineRule="auto"/>
      <w:jc w:val="center"/>
    </w:pPr>
    <w:rPr>
      <w:rFonts w:ascii="黑体" w:hAnsi="黑体" w:eastAsia="黑体" w:cs="Times New Roman"/>
      <w:szCs w:val="21"/>
    </w:rPr>
  </w:style>
  <w:style w:type="paragraph" w:styleId="5">
    <w:name w:val="footer"/>
    <w:basedOn w:val="1"/>
    <w:uiPriority w:val="0"/>
    <w:pPr>
      <w:tabs>
        <w:tab w:val="center" w:pos="4153"/>
        <w:tab w:val="right" w:pos="8306"/>
      </w:tabs>
      <w:snapToGrid w:val="0"/>
      <w:jc w:val="left"/>
    </w:pPr>
    <w:rPr>
      <w:sz w:val="18"/>
    </w:rPr>
  </w:style>
  <w:style w:type="table" w:styleId="7">
    <w:name w:val="Table Grid"/>
    <w:basedOn w:val="6"/>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8.wmf"/><Relationship Id="rId43" Type="http://schemas.openxmlformats.org/officeDocument/2006/relationships/oleObject" Target="embeddings/oleObject22.bin"/><Relationship Id="rId42" Type="http://schemas.openxmlformats.org/officeDocument/2006/relationships/image" Target="media/image17.wmf"/><Relationship Id="rId41" Type="http://schemas.openxmlformats.org/officeDocument/2006/relationships/oleObject" Target="embeddings/oleObject21.bin"/><Relationship Id="rId40" Type="http://schemas.openxmlformats.org/officeDocument/2006/relationships/image" Target="media/image16.wmf"/><Relationship Id="rId4" Type="http://schemas.openxmlformats.org/officeDocument/2006/relationships/theme" Target="theme/theme1.xml"/><Relationship Id="rId39" Type="http://schemas.openxmlformats.org/officeDocument/2006/relationships/oleObject" Target="embeddings/oleObject20.bin"/><Relationship Id="rId38" Type="http://schemas.openxmlformats.org/officeDocument/2006/relationships/image" Target="media/image15.wmf"/><Relationship Id="rId37" Type="http://schemas.openxmlformats.org/officeDocument/2006/relationships/oleObject" Target="embeddings/oleObject19.bin"/><Relationship Id="rId36" Type="http://schemas.openxmlformats.org/officeDocument/2006/relationships/image" Target="media/image14.wmf"/><Relationship Id="rId35" Type="http://schemas.openxmlformats.org/officeDocument/2006/relationships/oleObject" Target="embeddings/oleObject18.bin"/><Relationship Id="rId34" Type="http://schemas.openxmlformats.org/officeDocument/2006/relationships/image" Target="media/image13.wmf"/><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image" Target="media/image12.wmf"/><Relationship Id="rId30" Type="http://schemas.openxmlformats.org/officeDocument/2006/relationships/oleObject" Target="embeddings/oleObject15.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4.bin"/><Relationship Id="rId27" Type="http://schemas.openxmlformats.org/officeDocument/2006/relationships/image" Target="media/image10.wmf"/><Relationship Id="rId26" Type="http://schemas.openxmlformats.org/officeDocument/2006/relationships/oleObject" Target="embeddings/oleObject13.bin"/><Relationship Id="rId25" Type="http://schemas.openxmlformats.org/officeDocument/2006/relationships/image" Target="media/image9.wmf"/><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image" Target="media/image8.wmf"/><Relationship Id="rId21" Type="http://schemas.openxmlformats.org/officeDocument/2006/relationships/oleObject" Target="embeddings/oleObject10.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2022-11-22T03:37:00Z</dcterms:created>
  <dc:creator>刘易寒</dc:creator>
  <cp:lastModifiedBy>刘易寒</cp:lastModifiedBy>
  <dcterms:modified xsi:type="dcterms:W3CDTF">2022-11-22T03:38:13Z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6676695A89054BFB904872F2B81FDD7C</vt:lpwstr>
  </property>
</Properties>
</file>